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合同编号：</w:t>
      </w:r>
    </w:p>
    <w:p>
      <w:pPr>
        <w:adjustRightInd w:val="0"/>
        <w:snapToGrid w:val="0"/>
        <w:spacing w:line="480" w:lineRule="auto"/>
        <w:jc w:val="center"/>
        <w:rPr>
          <w:color w:val="000000" w:themeColor="text1"/>
          <w14:textFill>
            <w14:solidFill>
              <w14:schemeClr w14:val="tx1"/>
            </w14:solidFill>
          </w14:textFill>
        </w:rPr>
      </w:pPr>
      <w:r>
        <w:rPr>
          <w:rFonts w:hint="eastAsia"/>
          <w:b/>
          <w:color w:val="000000" w:themeColor="text1"/>
          <w:sz w:val="32"/>
          <w14:textFill>
            <w14:solidFill>
              <w14:schemeClr w14:val="tx1"/>
            </w14:solidFill>
          </w14:textFill>
        </w:rPr>
        <w:t>河海大学XX物业</w:t>
      </w:r>
      <w:r>
        <w:rPr>
          <w:b/>
          <w:color w:val="000000" w:themeColor="text1"/>
          <w:sz w:val="32"/>
          <w14:textFill>
            <w14:solidFill>
              <w14:schemeClr w14:val="tx1"/>
            </w14:solidFill>
          </w14:textFill>
        </w:rPr>
        <w:t>服务项目委托合同</w:t>
      </w:r>
      <w:r>
        <w:rPr>
          <w:rFonts w:hint="eastAsia"/>
          <w:b/>
          <w:color w:val="000000" w:themeColor="text1"/>
          <w:sz w:val="32"/>
          <w14:textFill>
            <w14:solidFill>
              <w14:schemeClr w14:val="tx1"/>
            </w14:solidFill>
          </w14:textFill>
        </w:rPr>
        <w:t>（模板）</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甲方（委托方）：</w:t>
      </w:r>
      <w:r>
        <w:rPr>
          <w:rFonts w:hint="eastAsia" w:ascii="仿宋" w:hAnsi="仿宋" w:eastAsia="仿宋"/>
          <w:kern w:val="0"/>
          <w:sz w:val="24"/>
          <w:szCs w:val="20"/>
          <w:u w:val="single"/>
        </w:rPr>
        <w:t>河海大学</w:t>
      </w:r>
      <w:r>
        <w:rPr>
          <w:rFonts w:hint="eastAsia" w:ascii="仿宋" w:hAnsi="仿宋" w:eastAsia="仿宋"/>
          <w:kern w:val="0"/>
          <w:sz w:val="24"/>
          <w:szCs w:val="20"/>
        </w:rPr>
        <w:t>(以下简称甲方)</w:t>
      </w:r>
    </w:p>
    <w:p>
      <w:pPr>
        <w:autoSpaceDE w:val="0"/>
        <w:autoSpaceDN w:val="0"/>
        <w:adjustRightInd w:val="0"/>
        <w:spacing w:line="480" w:lineRule="exact"/>
        <w:ind w:firstLine="480" w:firstLineChars="200"/>
        <w:jc w:val="left"/>
        <w:rPr>
          <w:rFonts w:ascii="仿宋" w:hAnsi="仿宋" w:eastAsia="仿宋"/>
          <w:b/>
          <w:kern w:val="0"/>
          <w:sz w:val="24"/>
          <w:szCs w:val="20"/>
        </w:rPr>
      </w:pPr>
      <w:r>
        <w:rPr>
          <w:rFonts w:hint="eastAsia" w:ascii="仿宋" w:hAnsi="仿宋" w:eastAsia="仿宋"/>
          <w:kern w:val="0"/>
          <w:sz w:val="24"/>
          <w:szCs w:val="20"/>
        </w:rPr>
        <w:t>乙方（受托方）：</w:t>
      </w:r>
      <w:r>
        <w:rPr>
          <w:rFonts w:hint="eastAsia" w:ascii="仿宋" w:hAnsi="仿宋" w:eastAsia="仿宋"/>
          <w:kern w:val="0"/>
          <w:sz w:val="24"/>
          <w:szCs w:val="20"/>
          <w:u w:val="single"/>
        </w:rPr>
        <w:t xml:space="preserve">          </w:t>
      </w:r>
      <w:r>
        <w:rPr>
          <w:rFonts w:hint="eastAsia" w:ascii="仿宋" w:hAnsi="仿宋" w:eastAsia="仿宋"/>
          <w:kern w:val="0"/>
          <w:sz w:val="24"/>
          <w:szCs w:val="20"/>
        </w:rPr>
        <w:t>(以下简称乙方)</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一、总 则</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为加强河海大学</w:t>
      </w:r>
      <w:r>
        <w:rPr>
          <w:rFonts w:hint="eastAsia" w:ascii="仿宋" w:hAnsi="仿宋" w:eastAsia="仿宋"/>
          <w:kern w:val="0"/>
          <w:sz w:val="24"/>
          <w:szCs w:val="20"/>
          <w:u w:val="single"/>
        </w:rPr>
        <w:t xml:space="preserve">              </w:t>
      </w:r>
      <w:r>
        <w:rPr>
          <w:rFonts w:hint="eastAsia" w:ascii="仿宋" w:hAnsi="仿宋" w:eastAsia="仿宋"/>
          <w:kern w:val="0"/>
          <w:sz w:val="24"/>
          <w:szCs w:val="20"/>
        </w:rPr>
        <w:t>的物业管理服务，保障各类设施设备正常运转，为教学科研工作开展和师生工作学习生活提供良好的后勤保障，根据有关法律法规，在自愿、平等和协商一致的基础上，甲方将</w:t>
      </w:r>
      <w:r>
        <w:rPr>
          <w:rFonts w:hint="eastAsia" w:ascii="仿宋" w:hAnsi="仿宋" w:eastAsia="仿宋"/>
          <w:kern w:val="0"/>
          <w:sz w:val="24"/>
          <w:szCs w:val="20"/>
          <w:u w:val="single"/>
        </w:rPr>
        <w:t xml:space="preserve">              </w:t>
      </w:r>
      <w:r>
        <w:rPr>
          <w:rFonts w:hint="eastAsia" w:ascii="仿宋" w:hAnsi="仿宋" w:eastAsia="仿宋"/>
          <w:kern w:val="0"/>
          <w:sz w:val="24"/>
          <w:szCs w:val="20"/>
        </w:rPr>
        <w:t>委托给乙方开展物业管理服务，订立本合同。</w:t>
      </w:r>
    </w:p>
    <w:p>
      <w:pPr>
        <w:autoSpaceDE w:val="0"/>
        <w:autoSpaceDN w:val="0"/>
        <w:adjustRightInd w:val="0"/>
        <w:spacing w:line="480" w:lineRule="exact"/>
        <w:ind w:firstLine="482" w:firstLineChars="200"/>
        <w:jc w:val="left"/>
        <w:rPr>
          <w:rFonts w:ascii="仿宋" w:hAnsi="仿宋" w:eastAsia="仿宋"/>
          <w:b/>
          <w:kern w:val="0"/>
          <w:sz w:val="24"/>
          <w:szCs w:val="20"/>
        </w:rPr>
      </w:pPr>
      <w:r>
        <w:rPr>
          <w:rFonts w:hint="eastAsia" w:ascii="仿宋" w:hAnsi="仿宋" w:eastAsia="仿宋"/>
          <w:b/>
          <w:kern w:val="0"/>
          <w:sz w:val="24"/>
          <w:szCs w:val="20"/>
        </w:rPr>
        <w:t>第一条  委托管理服务事项及范围</w:t>
      </w:r>
    </w:p>
    <w:p>
      <w:pPr>
        <w:autoSpaceDE w:val="0"/>
        <w:autoSpaceDN w:val="0"/>
        <w:adjustRightInd w:val="0"/>
        <w:spacing w:line="480" w:lineRule="exact"/>
        <w:ind w:firstLine="480" w:firstLineChars="200"/>
        <w:jc w:val="left"/>
        <w:rPr>
          <w:rFonts w:ascii="仿宋" w:hAnsi="仿宋" w:eastAsia="仿宋"/>
          <w:kern w:val="0"/>
          <w:sz w:val="24"/>
          <w:szCs w:val="20"/>
          <w:u w:val="single"/>
        </w:rPr>
      </w:pPr>
      <w:r>
        <w:rPr>
          <w:rFonts w:hint="eastAsia" w:ascii="仿宋" w:hAnsi="仿宋" w:eastAsia="仿宋"/>
          <w:kern w:val="0"/>
          <w:sz w:val="24"/>
          <w:szCs w:val="20"/>
          <w:u w:val="single"/>
        </w:rPr>
        <w:t xml:space="preserve">                                                               </w:t>
      </w:r>
    </w:p>
    <w:p>
      <w:pPr>
        <w:autoSpaceDE w:val="0"/>
        <w:autoSpaceDN w:val="0"/>
        <w:adjustRightInd w:val="0"/>
        <w:spacing w:line="480" w:lineRule="exact"/>
        <w:ind w:firstLine="480" w:firstLineChars="200"/>
        <w:jc w:val="left"/>
        <w:rPr>
          <w:rFonts w:ascii="仿宋" w:hAnsi="仿宋" w:eastAsia="仿宋"/>
          <w:kern w:val="0"/>
          <w:sz w:val="24"/>
          <w:szCs w:val="20"/>
          <w:u w:val="single"/>
        </w:rPr>
      </w:pPr>
      <w:r>
        <w:rPr>
          <w:rFonts w:hint="eastAsia" w:ascii="仿宋" w:hAnsi="仿宋" w:eastAsia="仿宋"/>
          <w:kern w:val="0"/>
          <w:sz w:val="24"/>
          <w:szCs w:val="20"/>
          <w:u w:val="single"/>
        </w:rPr>
        <w:t xml:space="preserve">                                                               </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以上所列内容如有遗漏，由甲方根据实际情况另行增补并书面通知乙方。</w:t>
      </w:r>
    </w:p>
    <w:p>
      <w:pPr>
        <w:autoSpaceDE w:val="0"/>
        <w:autoSpaceDN w:val="0"/>
        <w:adjustRightInd w:val="0"/>
        <w:spacing w:line="480" w:lineRule="exact"/>
        <w:jc w:val="center"/>
        <w:rPr>
          <w:rFonts w:ascii="仿宋" w:hAnsi="仿宋" w:eastAsia="仿宋"/>
          <w:kern w:val="0"/>
          <w:sz w:val="28"/>
          <w:szCs w:val="28"/>
        </w:rPr>
      </w:pPr>
      <w:r>
        <w:rPr>
          <w:rFonts w:hint="eastAsia" w:ascii="仿宋" w:hAnsi="仿宋" w:eastAsia="仿宋"/>
          <w:b/>
          <w:kern w:val="0"/>
          <w:sz w:val="28"/>
          <w:szCs w:val="28"/>
        </w:rPr>
        <w:t>二、委托管理事项</w:t>
      </w:r>
    </w:p>
    <w:p>
      <w:pPr>
        <w:autoSpaceDE w:val="0"/>
        <w:autoSpaceDN w:val="0"/>
        <w:adjustRightInd w:val="0"/>
        <w:spacing w:line="480" w:lineRule="exact"/>
        <w:ind w:firstLine="482" w:firstLineChars="200"/>
        <w:jc w:val="left"/>
        <w:rPr>
          <w:rFonts w:ascii="仿宋" w:hAnsi="仿宋" w:eastAsia="仿宋"/>
          <w:b/>
          <w:kern w:val="0"/>
          <w:sz w:val="24"/>
          <w:szCs w:val="20"/>
        </w:rPr>
      </w:pPr>
      <w:r>
        <w:rPr>
          <w:rFonts w:hint="eastAsia" w:ascii="仿宋" w:hAnsi="仿宋" w:eastAsia="仿宋"/>
          <w:b/>
          <w:kern w:val="0"/>
          <w:sz w:val="24"/>
          <w:szCs w:val="20"/>
        </w:rPr>
        <w:t>第二条  卫生保洁</w:t>
      </w:r>
    </w:p>
    <w:p>
      <w:pPr>
        <w:autoSpaceDE w:val="0"/>
        <w:autoSpaceDN w:val="0"/>
        <w:adjustRightInd w:val="0"/>
        <w:spacing w:line="480" w:lineRule="exact"/>
        <w:ind w:firstLine="480" w:firstLineChars="200"/>
        <w:jc w:val="left"/>
        <w:rPr>
          <w:rFonts w:ascii="仿宋" w:eastAsia="仿宋"/>
          <w:kern w:val="0"/>
          <w:sz w:val="24"/>
          <w:szCs w:val="20"/>
        </w:rPr>
      </w:pPr>
      <w:r>
        <w:rPr>
          <w:rFonts w:hint="eastAsia" w:ascii="仿宋" w:hAnsi="仿宋" w:eastAsia="仿宋"/>
          <w:kern w:val="0"/>
          <w:sz w:val="24"/>
          <w:szCs w:val="20"/>
        </w:rPr>
        <w:t>负责委托管理范围内的卫生保洁与消杀、垃圾分类收集与清运，并做好日常巡视检查，具体范围包括大厅、台阶、楼梯、走廊、平台、屋顶、强弱电间、卫生间、门窗、内墙、室外3米以下墙面部位，</w:t>
      </w:r>
      <w:r>
        <w:rPr>
          <w:rFonts w:hint="eastAsia" w:ascii="仿宋" w:hAnsi="仿宋" w:eastAsia="仿宋"/>
          <w:kern w:val="0"/>
          <w:sz w:val="24"/>
        </w:rPr>
        <w:t>建筑物周边自外墙至校园道路之间的地带（含硬化地面、绿化带、小广场、排水沟渠等，以及甲方认为应该由乙方包干的其他区域）、楼群中间地带等所有公共部位，</w:t>
      </w:r>
      <w:r>
        <w:rPr>
          <w:rFonts w:hint="eastAsia" w:ascii="仿宋" w:hAnsi="仿宋" w:eastAsia="仿宋"/>
          <w:kern w:val="0"/>
          <w:sz w:val="24"/>
          <w:szCs w:val="20"/>
        </w:rPr>
        <w:t>做到无杂物、无垃圾、无污垢、无污渍、无异味。及时清扫积水（积雪）。做好除“四害”工作。完成甲方临时布置的保洁工作。</w:t>
      </w:r>
    </w:p>
    <w:p>
      <w:pPr>
        <w:autoSpaceDE w:val="0"/>
        <w:autoSpaceDN w:val="0"/>
        <w:adjustRightInd w:val="0"/>
        <w:spacing w:line="480" w:lineRule="exact"/>
        <w:ind w:firstLine="482" w:firstLineChars="200"/>
        <w:jc w:val="left"/>
        <w:rPr>
          <w:rFonts w:ascii="仿宋" w:hAnsi="仿宋" w:eastAsia="仿宋"/>
          <w:b/>
          <w:kern w:val="0"/>
          <w:sz w:val="24"/>
          <w:szCs w:val="20"/>
        </w:rPr>
      </w:pPr>
      <w:r>
        <w:rPr>
          <w:rFonts w:hint="eastAsia" w:ascii="仿宋" w:hAnsi="仿宋" w:eastAsia="仿宋"/>
          <w:b/>
          <w:kern w:val="0"/>
          <w:sz w:val="24"/>
          <w:szCs w:val="20"/>
        </w:rPr>
        <w:t>第三条  楼宇管理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1.人员出入管理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门卫24小时值班、巡检，对楼宇周边车辆停放进行管理，突发事件的应急处理等消防安保管理。按照国家、当地和学校有关要求，对出入人员进行身份识别、来访事项登记。做好人脸识别有障碍门禁的使用和管理工作。</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2.设施设备管理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负责委托管理范围内的办公、教学、生活、水电、保洁等设施设备（包括公共教学设备、卫生设备、办公设备、空调设备、防盗报警系统、监控系统、网络设备、燃气设施、音响设备、室内消防栓、应急照明、灭火器、网络通讯器材、广播器材、体育器材、舞台机械设备、游泳馆水处理系统及热处理系统、泳池专用设施设备、室内外照明、电器及线路等）的规范摆放、保管、养护，确保设施设备的正常使用，未经甲方书面允许，不得外借、搬动和挪用。因乙方原因导致损坏、遗失的，由乙方负责修缮恢复原样或承担赔偿责任，修缮恢复方案须经甲方书面审核批准后，方可实施。</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3.教学、会务保障</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按照甲方和使用单位要求，提供教学、会务所需多媒体、桌椅摆放、茶水等配套服务。由乙方负责购置的相关设备、用具、消耗性物品等，应保持足量、完整、有效使用，所采购设备物品须符合国家相关质量安全标准，费用由乙方承担。</w:t>
      </w:r>
    </w:p>
    <w:p>
      <w:pPr>
        <w:autoSpaceDE w:val="0"/>
        <w:autoSpaceDN w:val="0"/>
        <w:adjustRightInd w:val="0"/>
        <w:spacing w:line="480" w:lineRule="exact"/>
        <w:ind w:left="480"/>
        <w:jc w:val="left"/>
        <w:rPr>
          <w:rFonts w:ascii="仿宋" w:hAnsi="仿宋" w:eastAsia="仿宋"/>
          <w:b/>
          <w:kern w:val="0"/>
          <w:sz w:val="24"/>
          <w:szCs w:val="20"/>
        </w:rPr>
      </w:pPr>
      <w:r>
        <w:rPr>
          <w:rFonts w:hint="eastAsia" w:ascii="仿宋" w:hAnsi="仿宋" w:eastAsia="仿宋"/>
          <w:b/>
          <w:kern w:val="0"/>
          <w:sz w:val="24"/>
          <w:szCs w:val="20"/>
        </w:rPr>
        <w:t>第四条  零星维修服务</w:t>
      </w:r>
    </w:p>
    <w:p>
      <w:pPr>
        <w:autoSpaceDE w:val="0"/>
        <w:autoSpaceDN w:val="0"/>
        <w:adjustRightInd w:val="0"/>
        <w:spacing w:line="480" w:lineRule="exact"/>
        <w:ind w:left="480"/>
        <w:jc w:val="left"/>
        <w:rPr>
          <w:rFonts w:ascii="仿宋" w:hAnsi="仿宋" w:eastAsia="仿宋"/>
          <w:b/>
          <w:kern w:val="0"/>
          <w:sz w:val="24"/>
          <w:szCs w:val="20"/>
        </w:rPr>
      </w:pPr>
      <w:r>
        <w:rPr>
          <w:rFonts w:hint="eastAsia" w:ascii="仿宋" w:hAnsi="仿宋" w:eastAsia="仿宋"/>
          <w:kern w:val="0"/>
          <w:sz w:val="24"/>
          <w:szCs w:val="20"/>
        </w:rPr>
        <w:t>1.乙方负责维修的项目</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负责委托管理范围内单次单件材料费</w:t>
      </w:r>
      <w:r>
        <w:rPr>
          <w:rFonts w:ascii="仿宋" w:hAnsi="仿宋" w:eastAsia="仿宋"/>
          <w:color w:val="0000FF"/>
          <w:kern w:val="0"/>
          <w:sz w:val="24"/>
          <w:szCs w:val="20"/>
        </w:rPr>
        <w:t>500元</w:t>
      </w:r>
      <w:r>
        <w:rPr>
          <w:rFonts w:hint="eastAsia" w:ascii="仿宋" w:hAnsi="仿宋" w:eastAsia="仿宋"/>
          <w:kern w:val="0"/>
          <w:sz w:val="24"/>
          <w:szCs w:val="20"/>
        </w:rPr>
        <w:t>（含）以下的水电（含线路、灯具、开关面板、水龙头、</w:t>
      </w:r>
      <w:r>
        <w:rPr>
          <w:rFonts w:hint="eastAsia" w:ascii="仿宋" w:eastAsia="仿宋"/>
          <w:kern w:val="0"/>
          <w:sz w:val="24"/>
          <w:szCs w:val="20"/>
        </w:rPr>
        <w:t>阀门</w:t>
      </w:r>
      <w:r>
        <w:rPr>
          <w:rFonts w:hint="eastAsia" w:ascii="仿宋" w:hAnsi="仿宋" w:eastAsia="仿宋"/>
          <w:kern w:val="0"/>
          <w:sz w:val="24"/>
          <w:szCs w:val="20"/>
        </w:rPr>
        <w:t>等）、上下水管道(含连接该栋楼所属化粪池部分)、落水管的维修、疏通，电风扇、排风扇、安防及消防设施（应急灯蓄电池除外）、门锁、铰链、开水房、</w:t>
      </w:r>
      <w:r>
        <w:rPr>
          <w:rFonts w:hint="eastAsia" w:ascii="仿宋" w:eastAsia="仿宋"/>
          <w:kern w:val="0"/>
          <w:sz w:val="24"/>
          <w:szCs w:val="20"/>
        </w:rPr>
        <w:t>卫生间隔断</w:t>
      </w:r>
      <w:r>
        <w:rPr>
          <w:rFonts w:hint="eastAsia" w:ascii="仿宋" w:hAnsi="仿宋" w:eastAsia="仿宋"/>
          <w:kern w:val="0"/>
          <w:sz w:val="24"/>
          <w:szCs w:val="20"/>
        </w:rPr>
        <w:t>及供电设施等的日常管理、养护和维修。涉及墙地面开挖、配电间内的电路除外。为保障高空作业安全所需租用的设施设备</w:t>
      </w:r>
      <w:r>
        <w:rPr>
          <w:rFonts w:hint="eastAsia" w:ascii="仿宋" w:hAnsi="仿宋" w:eastAsia="仿宋"/>
          <w:kern w:val="0"/>
          <w:sz w:val="24"/>
        </w:rPr>
        <w:t>（单次超过</w:t>
      </w:r>
      <w:r>
        <w:rPr>
          <w:rFonts w:ascii="仿宋" w:hAnsi="仿宋" w:eastAsia="仿宋"/>
          <w:color w:val="0000FF"/>
          <w:kern w:val="0"/>
          <w:sz w:val="24"/>
        </w:rPr>
        <w:t>500</w:t>
      </w:r>
      <w:r>
        <w:rPr>
          <w:rFonts w:hint="eastAsia" w:ascii="仿宋" w:hAnsi="仿宋" w:eastAsia="仿宋"/>
          <w:kern w:val="0"/>
          <w:sz w:val="24"/>
        </w:rPr>
        <w:t>元）</w:t>
      </w:r>
      <w:r>
        <w:rPr>
          <w:rFonts w:hint="eastAsia" w:ascii="仿宋" w:hAnsi="仿宋" w:eastAsia="仿宋"/>
          <w:kern w:val="0"/>
          <w:sz w:val="24"/>
          <w:szCs w:val="20"/>
        </w:rPr>
        <w:t>，经甲方书面确认、同意后，由甲方协调租用，所需经费由甲方承担。</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2.乙方负责报修的项目</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乙方负责向甲方报修委托管理范围内发生的公用空调、消防器材、多媒体、电热水器、开水炉、窗帘、室内天棚、内墙面、门窗玻璃及其他甲方书面认可的专项维修项目及单件单次材料费用超过</w:t>
      </w:r>
      <w:r>
        <w:rPr>
          <w:rFonts w:ascii="仿宋" w:hAnsi="仿宋" w:eastAsia="仿宋"/>
          <w:color w:val="0000FF"/>
          <w:kern w:val="0"/>
          <w:sz w:val="24"/>
          <w:szCs w:val="20"/>
        </w:rPr>
        <w:t>500</w:t>
      </w:r>
      <w:r>
        <w:rPr>
          <w:rFonts w:hint="eastAsia" w:ascii="仿宋" w:hAnsi="仿宋" w:eastAsia="仿宋"/>
          <w:kern w:val="0"/>
          <w:sz w:val="24"/>
          <w:szCs w:val="20"/>
        </w:rPr>
        <w:t>元以上维修项目，经甲方书面确认、同意后由甲方协调专业人员实施维修，维修所需经费由甲方承担。</w:t>
      </w:r>
    </w:p>
    <w:p>
      <w:pPr>
        <w:autoSpaceDE w:val="0"/>
        <w:autoSpaceDN w:val="0"/>
        <w:adjustRightInd w:val="0"/>
        <w:spacing w:line="480" w:lineRule="exact"/>
        <w:ind w:left="480"/>
        <w:jc w:val="left"/>
        <w:rPr>
          <w:rFonts w:ascii="仿宋" w:hAnsi="仿宋" w:eastAsia="仿宋"/>
          <w:b/>
          <w:kern w:val="0"/>
          <w:sz w:val="24"/>
          <w:szCs w:val="20"/>
        </w:rPr>
      </w:pPr>
      <w:r>
        <w:rPr>
          <w:rFonts w:hint="eastAsia" w:ascii="仿宋" w:hAnsi="仿宋" w:eastAsia="仿宋"/>
          <w:b/>
          <w:kern w:val="0"/>
          <w:sz w:val="24"/>
          <w:szCs w:val="20"/>
        </w:rPr>
        <w:t>第五条  安全管理</w:t>
      </w:r>
    </w:p>
    <w:p>
      <w:pPr>
        <w:autoSpaceDE w:val="0"/>
        <w:autoSpaceDN w:val="0"/>
        <w:adjustRightInd w:val="0"/>
        <w:spacing w:line="480" w:lineRule="exact"/>
        <w:ind w:firstLine="398" w:firstLineChars="166"/>
        <w:jc w:val="left"/>
        <w:rPr>
          <w:rFonts w:ascii="仿宋" w:hAnsi="仿宋" w:eastAsia="仿宋"/>
          <w:kern w:val="0"/>
          <w:sz w:val="24"/>
          <w:szCs w:val="20"/>
        </w:rPr>
      </w:pPr>
      <w:r>
        <w:rPr>
          <w:rFonts w:hint="eastAsia" w:ascii="仿宋" w:hAnsi="仿宋" w:eastAsia="仿宋"/>
          <w:kern w:val="0"/>
          <w:sz w:val="24"/>
          <w:szCs w:val="20"/>
        </w:rPr>
        <w:t>负责委托管理范围内的安全管理和消控室值班，做好防火、防盗、防涝、防爆等安全工作。合理安排巡视路线和时间，实行24小时巡视值班制，巡视记录列入对乙方的管理和考核。处置火灾报警信息、及时协助开展火灾扑救，发现安全隐患立即处理并上报甲方，乙方应当采取合理措施最大程度减少损失。</w:t>
      </w:r>
    </w:p>
    <w:p>
      <w:pPr>
        <w:autoSpaceDE w:val="0"/>
        <w:autoSpaceDN w:val="0"/>
        <w:adjustRightInd w:val="0"/>
        <w:spacing w:line="480" w:lineRule="exact"/>
        <w:ind w:left="480"/>
        <w:jc w:val="left"/>
        <w:rPr>
          <w:rFonts w:ascii="仿宋" w:hAnsi="仿宋" w:eastAsia="仿宋"/>
          <w:b/>
          <w:kern w:val="0"/>
          <w:sz w:val="24"/>
          <w:szCs w:val="20"/>
        </w:rPr>
      </w:pPr>
      <w:r>
        <w:rPr>
          <w:rFonts w:hint="eastAsia" w:ascii="仿宋" w:hAnsi="仿宋" w:eastAsia="仿宋"/>
          <w:b/>
          <w:kern w:val="0"/>
          <w:sz w:val="24"/>
          <w:szCs w:val="20"/>
        </w:rPr>
        <w:t>第六条  其它工作</w:t>
      </w:r>
    </w:p>
    <w:p>
      <w:pPr>
        <w:autoSpaceDE w:val="0"/>
        <w:autoSpaceDN w:val="0"/>
        <w:adjustRightInd w:val="0"/>
        <w:spacing w:line="480" w:lineRule="exact"/>
        <w:ind w:firstLine="398" w:firstLineChars="166"/>
        <w:jc w:val="left"/>
        <w:rPr>
          <w:rFonts w:ascii="仿宋" w:hAnsi="仿宋" w:eastAsia="仿宋"/>
          <w:kern w:val="0"/>
          <w:sz w:val="24"/>
          <w:szCs w:val="20"/>
        </w:rPr>
      </w:pPr>
      <w:r>
        <w:rPr>
          <w:rFonts w:hint="eastAsia" w:ascii="仿宋" w:hAnsi="仿宋" w:eastAsia="仿宋"/>
          <w:kern w:val="0"/>
          <w:sz w:val="24"/>
          <w:szCs w:val="20"/>
        </w:rPr>
        <w:t>做好委托管理范围内的节水节电工作，树立节水节电意识，杜绝长流水、长明电，避免人为原因造成的水电资源浪费，并根据学校要求与季节变化及时开展节水节电工作。及时发现上报其它突发应急情况，控制舆情，并协助甲方做好处理工作。</w:t>
      </w:r>
    </w:p>
    <w:p>
      <w:pPr>
        <w:autoSpaceDE w:val="0"/>
        <w:autoSpaceDN w:val="0"/>
        <w:adjustRightInd w:val="0"/>
        <w:spacing w:line="480" w:lineRule="exact"/>
        <w:ind w:firstLine="398" w:firstLineChars="166"/>
        <w:jc w:val="left"/>
        <w:rPr>
          <w:rFonts w:ascii="仿宋" w:hAnsi="仿宋" w:eastAsia="仿宋"/>
          <w:kern w:val="0"/>
          <w:sz w:val="24"/>
          <w:szCs w:val="20"/>
        </w:rPr>
      </w:pPr>
      <w:r>
        <w:rPr>
          <w:rFonts w:hint="eastAsia" w:ascii="仿宋" w:hAnsi="仿宋" w:eastAsia="仿宋"/>
          <w:kern w:val="0"/>
          <w:sz w:val="24"/>
          <w:szCs w:val="20"/>
        </w:rPr>
        <w:t>以上各项工作要求及标准，</w:t>
      </w:r>
      <w:r>
        <w:rPr>
          <w:rFonts w:hint="eastAsia" w:ascii="仿宋" w:hAnsi="仿宋" w:eastAsia="仿宋"/>
          <w:kern w:val="0"/>
          <w:sz w:val="24"/>
          <w:szCs w:val="20"/>
          <w:highlight w:val="none"/>
        </w:rPr>
        <w:t>参见招标文件“技术规格及要求”中的相关内容，以及</w:t>
      </w:r>
      <w:r>
        <w:rPr>
          <w:rFonts w:hint="eastAsia" w:ascii="仿宋" w:hAnsi="仿宋" w:eastAsia="仿宋"/>
          <w:b w:val="0"/>
          <w:bCs/>
          <w:kern w:val="0"/>
          <w:sz w:val="24"/>
          <w:szCs w:val="20"/>
          <w:highlight w:val="none"/>
        </w:rPr>
        <w:t>《河海大学物业管理办法》、</w:t>
      </w:r>
      <w:r>
        <w:rPr>
          <w:rFonts w:hint="eastAsia" w:ascii="仿宋_GB2312" w:hAnsi="仿宋_GB2312" w:eastAsia="仿宋_GB2312"/>
          <w:b w:val="0"/>
          <w:bCs/>
          <w:kern w:val="0"/>
          <w:sz w:val="24"/>
          <w:szCs w:val="20"/>
          <w:highlight w:val="none"/>
        </w:rPr>
        <w:t>《</w:t>
      </w:r>
      <w:r>
        <w:rPr>
          <w:rFonts w:ascii="仿宋_GB2312" w:hAnsi="仿宋_GB2312" w:eastAsia="仿宋_GB2312"/>
          <w:b w:val="0"/>
          <w:bCs/>
          <w:kern w:val="0"/>
          <w:sz w:val="24"/>
          <w:szCs w:val="20"/>
          <w:highlight w:val="none"/>
        </w:rPr>
        <w:t>河海大学文体中心清洁卫生标准</w:t>
      </w:r>
      <w:r>
        <w:rPr>
          <w:rFonts w:hint="eastAsia" w:ascii="仿宋_GB2312" w:hAnsi="仿宋_GB2312" w:eastAsia="仿宋_GB2312"/>
          <w:b w:val="0"/>
          <w:bCs/>
          <w:kern w:val="0"/>
          <w:sz w:val="24"/>
          <w:szCs w:val="20"/>
          <w:highlight w:val="none"/>
        </w:rPr>
        <w:t>》和《</w:t>
      </w:r>
      <w:r>
        <w:rPr>
          <w:rFonts w:ascii="仿宋_GB2312" w:hAnsi="仿宋_GB2312" w:eastAsia="仿宋_GB2312"/>
          <w:b w:val="0"/>
          <w:bCs/>
          <w:kern w:val="0"/>
          <w:sz w:val="24"/>
          <w:szCs w:val="20"/>
          <w:highlight w:val="none"/>
        </w:rPr>
        <w:t>河海大学</w:t>
      </w:r>
      <w:r>
        <w:rPr>
          <w:rFonts w:hint="eastAsia" w:ascii="仿宋_GB2312" w:hAnsi="仿宋_GB2312" w:eastAsia="仿宋_GB2312"/>
          <w:b w:val="0"/>
          <w:bCs/>
          <w:kern w:val="0"/>
          <w:sz w:val="24"/>
          <w:szCs w:val="20"/>
          <w:highlight w:val="none"/>
        </w:rPr>
        <w:t>游泳馆</w:t>
      </w:r>
      <w:r>
        <w:rPr>
          <w:rFonts w:ascii="仿宋_GB2312" w:hAnsi="仿宋_GB2312" w:eastAsia="仿宋_GB2312"/>
          <w:b w:val="0"/>
          <w:bCs/>
          <w:kern w:val="0"/>
          <w:sz w:val="24"/>
          <w:szCs w:val="20"/>
          <w:highlight w:val="none"/>
        </w:rPr>
        <w:t>清洁卫生标准</w:t>
      </w:r>
      <w:r>
        <w:rPr>
          <w:rFonts w:hint="eastAsia" w:ascii="仿宋_GB2312" w:hAnsi="仿宋_GB2312" w:eastAsia="仿宋_GB2312"/>
          <w:b w:val="0"/>
          <w:bCs/>
          <w:kern w:val="0"/>
          <w:sz w:val="24"/>
          <w:szCs w:val="20"/>
          <w:highlight w:val="none"/>
        </w:rPr>
        <w:t>》等</w:t>
      </w:r>
      <w:r>
        <w:rPr>
          <w:rFonts w:hint="eastAsia" w:ascii="仿宋_GB2312" w:hAnsi="仿宋_GB2312" w:eastAsia="仿宋_GB2312"/>
          <w:kern w:val="0"/>
          <w:sz w:val="24"/>
          <w:szCs w:val="20"/>
          <w:highlight w:val="none"/>
        </w:rPr>
        <w:t>。</w:t>
      </w:r>
      <w:r>
        <w:rPr>
          <w:rFonts w:hint="eastAsia" w:ascii="仿宋_GB2312" w:hAnsi="仿宋_GB2312" w:eastAsia="仿宋_GB2312"/>
          <w:b/>
          <w:kern w:val="0"/>
          <w:sz w:val="24"/>
          <w:szCs w:val="20"/>
          <w:highlight w:val="yellow"/>
        </w:rPr>
        <w:t>（建议上述文件作为合同附件，或者采取其他乙方能够知晓内容的方式告知乙方，并取得乙方盖章确认知晓。）</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三、委托管理期限</w:t>
      </w:r>
    </w:p>
    <w:p>
      <w:pPr>
        <w:autoSpaceDE w:val="0"/>
        <w:autoSpaceDN w:val="0"/>
        <w:adjustRightInd w:val="0"/>
        <w:spacing w:line="480" w:lineRule="exact"/>
        <w:ind w:firstLine="482" w:firstLineChars="200"/>
        <w:jc w:val="left"/>
        <w:rPr>
          <w:rFonts w:ascii="仿宋" w:hAnsi="仿宋" w:eastAsia="仿宋" w:cs="宋体"/>
          <w:b/>
          <w:kern w:val="0"/>
          <w:sz w:val="24"/>
          <w:szCs w:val="20"/>
        </w:rPr>
      </w:pPr>
      <w:r>
        <w:rPr>
          <w:rFonts w:hint="eastAsia" w:ascii="仿宋" w:hAnsi="仿宋" w:eastAsia="仿宋" w:cs="宋体"/>
          <w:b/>
          <w:kern w:val="0"/>
          <w:sz w:val="24"/>
          <w:szCs w:val="20"/>
        </w:rPr>
        <w:t>第七条  委托管理期限</w:t>
      </w:r>
    </w:p>
    <w:p>
      <w:pPr>
        <w:autoSpaceDE w:val="0"/>
        <w:autoSpaceDN w:val="0"/>
        <w:adjustRightInd w:val="0"/>
        <w:spacing w:line="480" w:lineRule="exact"/>
        <w:ind w:firstLine="480" w:firstLineChars="200"/>
        <w:jc w:val="left"/>
        <w:rPr>
          <w:rFonts w:ascii="仿宋" w:hAnsi="仿宋" w:eastAsia="仿宋" w:cs="宋体"/>
          <w:kern w:val="0"/>
          <w:sz w:val="24"/>
          <w:szCs w:val="20"/>
        </w:rPr>
      </w:pPr>
      <w:r>
        <w:rPr>
          <w:rFonts w:hint="eastAsia" w:ascii="仿宋" w:hAnsi="仿宋" w:eastAsia="仿宋"/>
          <w:kern w:val="0"/>
          <w:sz w:val="24"/>
          <w:szCs w:val="20"/>
          <w:u w:val="single"/>
        </w:rPr>
        <w:t xml:space="preserve">                 </w:t>
      </w:r>
      <w:r>
        <w:rPr>
          <w:rFonts w:hint="eastAsia" w:ascii="仿宋" w:hAnsi="仿宋" w:eastAsia="仿宋"/>
          <w:kern w:val="0"/>
          <w:sz w:val="24"/>
          <w:szCs w:val="20"/>
        </w:rPr>
        <w:t>物业管理服务</w:t>
      </w:r>
      <w:r>
        <w:rPr>
          <w:rFonts w:hint="eastAsia" w:ascii="仿宋" w:hAnsi="仿宋" w:eastAsia="仿宋" w:cs="宋体"/>
          <w:kern w:val="0"/>
          <w:sz w:val="24"/>
          <w:szCs w:val="20"/>
        </w:rPr>
        <w:t>：两年，预计自</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年</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月</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日至</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年</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月</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 xml:space="preserve"> 日。合同分两次签订，第一期合同自</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年</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月</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日至</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年</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月</w:t>
      </w:r>
      <w:r>
        <w:rPr>
          <w:rFonts w:hint="eastAsia" w:ascii="仿宋" w:hAnsi="仿宋" w:eastAsia="仿宋" w:cs="宋体"/>
          <w:kern w:val="0"/>
          <w:sz w:val="24"/>
          <w:szCs w:val="20"/>
          <w:u w:val="single"/>
        </w:rPr>
        <w:t xml:space="preserve">  </w:t>
      </w:r>
      <w:r>
        <w:rPr>
          <w:rFonts w:hint="eastAsia" w:ascii="仿宋" w:hAnsi="仿宋" w:eastAsia="仿宋" w:cs="宋体"/>
          <w:kern w:val="0"/>
          <w:sz w:val="24"/>
          <w:szCs w:val="20"/>
        </w:rPr>
        <w:t>日，第一期合同考核合格方可续签下一期合同。</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在合同执行期内，</w:t>
      </w:r>
      <w:r>
        <w:rPr>
          <w:rFonts w:ascii="仿宋" w:hAnsi="仿宋" w:eastAsia="仿宋"/>
          <w:kern w:val="0"/>
          <w:sz w:val="24"/>
          <w:szCs w:val="20"/>
        </w:rPr>
        <w:t>如</w:t>
      </w:r>
      <w:r>
        <w:rPr>
          <w:rFonts w:hint="eastAsia" w:ascii="仿宋" w:hAnsi="仿宋" w:eastAsia="仿宋"/>
          <w:kern w:val="0"/>
          <w:sz w:val="24"/>
          <w:szCs w:val="20"/>
        </w:rPr>
        <w:t>遇南京市</w:t>
      </w:r>
      <w:bookmarkStart w:id="1" w:name="_GoBack"/>
      <w:bookmarkEnd w:id="1"/>
      <w:r>
        <w:rPr>
          <w:rFonts w:hint="eastAsia" w:ascii="仿宋" w:hAnsi="仿宋" w:eastAsia="仿宋"/>
          <w:kern w:val="0"/>
          <w:sz w:val="24"/>
          <w:szCs w:val="20"/>
        </w:rPr>
        <w:t>上调最低保障工资标准、社会保险和公积金标准，乙方自行承担上调费用。</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四、双方权利和义务</w:t>
      </w:r>
    </w:p>
    <w:p>
      <w:pPr>
        <w:autoSpaceDE w:val="0"/>
        <w:autoSpaceDN w:val="0"/>
        <w:adjustRightInd w:val="0"/>
        <w:spacing w:line="480" w:lineRule="exact"/>
        <w:ind w:firstLine="482" w:firstLineChars="200"/>
        <w:jc w:val="left"/>
        <w:rPr>
          <w:rFonts w:ascii="仿宋" w:hAnsi="仿宋" w:eastAsia="仿宋"/>
          <w:b/>
          <w:kern w:val="0"/>
          <w:sz w:val="24"/>
          <w:szCs w:val="20"/>
        </w:rPr>
      </w:pPr>
      <w:r>
        <w:rPr>
          <w:rFonts w:hint="eastAsia" w:ascii="仿宋" w:hAnsi="仿宋" w:eastAsia="仿宋"/>
          <w:b/>
          <w:kern w:val="0"/>
          <w:sz w:val="24"/>
          <w:szCs w:val="20"/>
        </w:rPr>
        <w:t>第八条  甲方权利义务</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1.负责物业服务工作的监督和管理。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2.监督乙方主要服务人员的相对稳定和在岗配置数符合投标文件中的人员配置数。</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3.对乙方服务质量进行抽查、例行检查和日常、季度考核。</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4.依据合同和考核结果，支付乙方物业服务费，如乙方服务不符合约定，甲方有权拒绝支付不构成违约，同时按照第七条违约责任处理。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5.为乙方提供规定的办公场所和能堆放材料、用品的储藏间。</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6.审议乙方的工作计划、安排和保障措施。</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7.协助乙方做好主要服务项目的宣传、教育、培训和观摩。</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8.协助乙方处理管理服务过程中的矛盾和问题。</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9.督促乙方收集、整理、上交管理服务材料。</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10.协调完成物业管理服务的交接工作，协助乙方正常履行合同。</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11.有权对乙方的服务质量缺陷导致的损失进行追偿。</w:t>
      </w:r>
    </w:p>
    <w:p>
      <w:pPr>
        <w:autoSpaceDE w:val="0"/>
        <w:autoSpaceDN w:val="0"/>
        <w:adjustRightInd w:val="0"/>
        <w:spacing w:line="480" w:lineRule="exact"/>
        <w:ind w:firstLine="482" w:firstLineChars="200"/>
        <w:jc w:val="left"/>
        <w:rPr>
          <w:rFonts w:ascii="仿宋" w:hAnsi="仿宋" w:eastAsia="仿宋"/>
          <w:b/>
          <w:kern w:val="0"/>
          <w:sz w:val="24"/>
          <w:szCs w:val="20"/>
        </w:rPr>
      </w:pPr>
      <w:r>
        <w:rPr>
          <w:rFonts w:hint="eastAsia" w:ascii="仿宋" w:hAnsi="仿宋" w:eastAsia="仿宋"/>
          <w:b/>
          <w:kern w:val="0"/>
          <w:sz w:val="24"/>
          <w:szCs w:val="20"/>
        </w:rPr>
        <w:t>第九条  乙方权利义务</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1.科学配置管理机构和人员，切实加强对员工的考核（职业道德教育、安全保密）、培训（岗前、技能）和使用管理。按照投标文件的要求，人员配备不得低于招标文件中要求的最低配置人数</w:t>
      </w:r>
      <w:r>
        <w:rPr>
          <w:rFonts w:hint="eastAsia" w:ascii="仿宋" w:hAnsi="仿宋" w:eastAsia="仿宋"/>
          <w:kern w:val="0"/>
          <w:sz w:val="24"/>
          <w:szCs w:val="20"/>
          <w:u w:val="single"/>
        </w:rPr>
        <w:t xml:space="preserve">   </w:t>
      </w:r>
      <w:r>
        <w:rPr>
          <w:rFonts w:hint="eastAsia" w:ascii="仿宋" w:hAnsi="仿宋" w:eastAsia="仿宋"/>
          <w:kern w:val="0"/>
          <w:sz w:val="24"/>
          <w:szCs w:val="20"/>
        </w:rPr>
        <w:t>人。未经甲方书面许可，不得擅自更换项目经理，统一着装，挂牌上岗，定岗到人、责任到人。</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2.依据招标文件规定的服务范围、内容和标准，制定书面年度计划和保障措施，制定规章制度和工作规范，报甲方批准备案后组织实施，提高服务质量。</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3.依据物业服务规范、规程和规章，高标准、高质量实施管理、抓好服务，实现管理目标、提高服务满意度，发挥服务育人功能。</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4.自觉服从甲方的管理监督和检查考核，及时整改物业服务中的问题至符合甲方要求。</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5.依据物业服务需要，自行配备本项目管理服务所需的设备用具、保洁材料、办公、会务及消毒物资用品，所有费用由乙方承担。</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6.严格遵守甲方管理规定，爱护公共设施和场所，未经甲方书面同意，不得擅自改变其功能。因乙方原因导致损坏、遗失的，负责修缮恢复原样或承担赔偿责任，修缮恢复方案须经甲方书面审核批准后，方可实施。</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7.乙方工作人员发生工伤事故或违法行为由乙方自行负责处理，甲方不承担任何责任。乙方负责处理物业服务中的债权债务、财产损失、人身伤害、劳动纠纷等一切问题，甲方不承担责任，乙方还应负责消除对甲方的不利影响，如甲方因此承担了任何责任，有权向乙方全额追偿。</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8.寒、暑假（含法定节假日）期间物业公司要有主要负责人及足够数量的员工在岗正常开展工作。节假日等重要时间节点，需加强日常管理巡查力度。</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9.委托期满后，乙方应无条件移交物业服务权，撤出本项目，协助甲方做好物业服务的交接和善后工作，移交物业管理用房和物业服务的全部档案资料，保证上述移交房屋、财产、档案的完好及完整性。</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10.接受甲方的检查，每周向甲方书面通报工作情况，反馈师生的意见建议，及时上报突发事件，控制舆情。</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11.负责完成甲方布置的临时性、突击性任务，甲方不另付费用。</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12.对于甲方提出的更换相关履职欠佳、师生评价欠佳的工作人员的要求，乙方须第一时间响应并落实。</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w:t>
      </w:r>
      <w:r>
        <w:rPr>
          <w:rFonts w:ascii="仿宋" w:hAnsi="仿宋" w:eastAsia="仿宋"/>
          <w:kern w:val="0"/>
          <w:sz w:val="24"/>
          <w:szCs w:val="20"/>
        </w:rPr>
        <w:t>3</w:t>
      </w:r>
      <w:r>
        <w:rPr>
          <w:rFonts w:hint="eastAsia" w:ascii="仿宋" w:hAnsi="仿宋" w:eastAsia="仿宋"/>
          <w:kern w:val="0"/>
          <w:sz w:val="24"/>
          <w:szCs w:val="20"/>
        </w:rPr>
        <w:t>.乙方对在本合同履行过程中所掌握的甲方以及为履行本合同所获知任何第三人的政策、财务中的资料、信息、数据负有保密义务，不得泄露或许可他人使用，否则须承担由此造成的甲方的一切损失。甲方提供的资料、信息，未经甲方书面许可，乙方不能传给第三方，乙方可仅为合同目的向其确有知悉必要的员工披露甲方提供的保密资料，但同时须指示其员工遵守本条规定的保密及不披露义务，同时，乙方不得在本合同之外再次使用，否则构成违约，应当承担相应的违约责任。本保密义务应在本合同期满、解除或终止后仍然有效。若有乙方违反保密条款，将合同内容披露给第三方，甲方有权解除本合同，且乙方应赔偿甲方的一切损失。如情节严重，甲方有权保留采取法律途径，要求乙方赔偿经济损失并追究其法律责任的权利。</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五、考核要求</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考核分为日常检查、专项检查、服务测评，三项分别赋分，每季度进行一次综合评分，三项综合评分满分100分，为每季度考核得分。其中，日常检查采用日常巡查监督和不定期听取师生意见方式进行，满分3</w:t>
      </w:r>
      <w:r>
        <w:rPr>
          <w:rFonts w:ascii="仿宋" w:hAnsi="仿宋" w:eastAsia="仿宋"/>
          <w:kern w:val="0"/>
          <w:sz w:val="24"/>
          <w:szCs w:val="20"/>
        </w:rPr>
        <w:t>0</w:t>
      </w:r>
      <w:r>
        <w:rPr>
          <w:rFonts w:hint="eastAsia" w:ascii="仿宋" w:hAnsi="仿宋" w:eastAsia="仿宋"/>
          <w:kern w:val="0"/>
          <w:sz w:val="24"/>
          <w:szCs w:val="20"/>
        </w:rPr>
        <w:t>分；专项检查采用专项研讨和检查方式进行，满分</w:t>
      </w:r>
      <w:r>
        <w:rPr>
          <w:rFonts w:ascii="仿宋" w:hAnsi="仿宋" w:eastAsia="仿宋"/>
          <w:kern w:val="0"/>
          <w:sz w:val="24"/>
          <w:szCs w:val="20"/>
        </w:rPr>
        <w:t>30</w:t>
      </w:r>
      <w:r>
        <w:rPr>
          <w:rFonts w:hint="eastAsia" w:ascii="仿宋" w:hAnsi="仿宋" w:eastAsia="仿宋"/>
          <w:kern w:val="0"/>
          <w:sz w:val="24"/>
          <w:szCs w:val="20"/>
        </w:rPr>
        <w:t>分；服务测评采用师生满意度问卷调查的方式进行，满分</w:t>
      </w:r>
      <w:r>
        <w:rPr>
          <w:rFonts w:ascii="仿宋" w:hAnsi="仿宋" w:eastAsia="仿宋"/>
          <w:kern w:val="0"/>
          <w:sz w:val="24"/>
          <w:szCs w:val="20"/>
        </w:rPr>
        <w:t>40</w:t>
      </w:r>
      <w:r>
        <w:rPr>
          <w:rFonts w:hint="eastAsia" w:ascii="仿宋" w:hAnsi="仿宋" w:eastAsia="仿宋"/>
          <w:kern w:val="0"/>
          <w:sz w:val="24"/>
          <w:szCs w:val="20"/>
        </w:rPr>
        <w:t>分。</w:t>
      </w:r>
    </w:p>
    <w:p>
      <w:pPr>
        <w:autoSpaceDE w:val="0"/>
        <w:autoSpaceDN w:val="0"/>
        <w:adjustRightInd w:val="0"/>
        <w:spacing w:line="480" w:lineRule="exact"/>
        <w:ind w:firstLine="482" w:firstLineChars="200"/>
        <w:jc w:val="left"/>
        <w:rPr>
          <w:rFonts w:ascii="仿宋" w:hAnsi="仿宋" w:eastAsia="仿宋"/>
          <w:b/>
          <w:kern w:val="0"/>
          <w:sz w:val="24"/>
          <w:szCs w:val="20"/>
        </w:rPr>
      </w:pPr>
      <w:r>
        <w:rPr>
          <w:rFonts w:hint="eastAsia" w:ascii="仿宋" w:hAnsi="仿宋" w:eastAsia="仿宋"/>
          <w:b/>
          <w:kern w:val="0"/>
          <w:sz w:val="24"/>
          <w:szCs w:val="20"/>
        </w:rPr>
        <w:t>第十条  日常检查和专项检查</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1.乙方负责维修范围</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水电急修及时率（2小时内完成）达100%。</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其他设施设备及水电零修及时率（12小时内完成）98%以上。</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重要设施设备完好率100%。</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2.乙方负责报修范围</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发现故障并上报的及时率达100%。</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跟踪并反馈完成率达100%。</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3.综合服务质量</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（1）人员岗位配置和任职资格</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乙方配备的员工人数不得低于招标文件中要求的最低配置人数</w:t>
      </w:r>
      <w:r>
        <w:rPr>
          <w:rFonts w:hint="eastAsia" w:ascii="仿宋" w:hAnsi="仿宋" w:eastAsia="仿宋"/>
          <w:kern w:val="0"/>
          <w:sz w:val="24"/>
          <w:szCs w:val="20"/>
          <w:u w:val="single"/>
        </w:rPr>
        <w:t xml:space="preserve"> </w:t>
      </w:r>
      <w:r>
        <w:rPr>
          <w:rFonts w:ascii="仿宋" w:hAnsi="仿宋" w:eastAsia="仿宋"/>
          <w:kern w:val="0"/>
          <w:sz w:val="24"/>
          <w:szCs w:val="20"/>
          <w:u w:val="single"/>
        </w:rPr>
        <w:t xml:space="preserve">  </w:t>
      </w:r>
      <w:r>
        <w:rPr>
          <w:rFonts w:hint="eastAsia" w:ascii="仿宋" w:hAnsi="仿宋" w:eastAsia="仿宋"/>
          <w:kern w:val="0"/>
          <w:sz w:val="24"/>
          <w:szCs w:val="20"/>
        </w:rPr>
        <w:t>。人员数量不足，每发现一人次扣2分，并按照缺员人数和南京市最低工资标准扣减物业管理费；</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各岗位配置人员标准连续 3 月达不到合同约定的，将双倍扣分及扣减物业管理费，并且甲方有权单方解除合同，解除合同的通知自到达乙方时生效，甲方无需支付任何费用；</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乙方配备的员工不具有相关任职资格证书任职的，每发现一人次扣 1 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（2）人员稳定</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项目经理不得擅自更换，否则甲方有权单方解除合同，解除合同的通知自到达乙方时生效，甲方无需支付任何费用；</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领班/站长每半年内更换不超过 1次，每发现一人次不符合要求扣1分；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其他人员当月更换不超过10%。更换超过10%的，每更换一人次扣 0.5 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以上甲方要求更换的除外。</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（3）人员考勤</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项目经理离开物业服务工作场所需向甲方书面报备，并保持通讯工具 24 小时畅通。每发现一次不符合要求扣 0.5 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特殊时期管理人员需安排全天候轮值处理突发事件。每发现一人次不符合要求扣 2 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严禁只打卡不上岗现象，严禁迟到、早退，工作前两小时和值班期间严禁饮酒。每发现一人次不符合要求扣 2 分；</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（4）师生投诉情况</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对于师生的投诉，经查实，确属乙方责任的，每发现一次扣3分。</w:t>
      </w:r>
    </w:p>
    <w:p>
      <w:pPr>
        <w:autoSpaceDE w:val="0"/>
        <w:autoSpaceDN w:val="0"/>
        <w:adjustRightInd w:val="0"/>
        <w:spacing w:line="480" w:lineRule="exact"/>
        <w:ind w:left="480"/>
        <w:jc w:val="left"/>
        <w:rPr>
          <w:rFonts w:ascii="仿宋" w:hAnsi="仿宋" w:eastAsia="仿宋"/>
          <w:b/>
          <w:kern w:val="0"/>
          <w:sz w:val="24"/>
          <w:szCs w:val="20"/>
        </w:rPr>
      </w:pPr>
      <w:r>
        <w:rPr>
          <w:rFonts w:hint="eastAsia" w:ascii="仿宋" w:hAnsi="仿宋" w:eastAsia="仿宋"/>
          <w:b/>
          <w:kern w:val="0"/>
          <w:sz w:val="24"/>
          <w:szCs w:val="20"/>
        </w:rPr>
        <w:t>第十一条  服务测评</w:t>
      </w:r>
    </w:p>
    <w:p>
      <w:pPr>
        <w:autoSpaceDE w:val="0"/>
        <w:autoSpaceDN w:val="0"/>
        <w:adjustRightInd w:val="0"/>
        <w:spacing w:after="312" w:afterLines="100" w:line="44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按师生满意率百分比乘以满分</w:t>
      </w:r>
      <w:r>
        <w:rPr>
          <w:rFonts w:ascii="仿宋" w:hAnsi="仿宋" w:eastAsia="仿宋"/>
          <w:kern w:val="0"/>
          <w:sz w:val="24"/>
          <w:szCs w:val="20"/>
        </w:rPr>
        <w:t>40</w:t>
      </w:r>
      <w:r>
        <w:rPr>
          <w:rFonts w:hint="eastAsia" w:ascii="仿宋" w:hAnsi="仿宋" w:eastAsia="仿宋"/>
          <w:kern w:val="0"/>
          <w:sz w:val="24"/>
          <w:szCs w:val="20"/>
        </w:rPr>
        <w:t>分计算服务测评得分，测评表见附表2《河海大学物业监督管理服务测评表》。</w:t>
      </w:r>
    </w:p>
    <w:p>
      <w:pPr>
        <w:autoSpaceDE w:val="0"/>
        <w:autoSpaceDN w:val="0"/>
        <w:adjustRightInd w:val="0"/>
        <w:spacing w:line="480" w:lineRule="exact"/>
        <w:ind w:left="480"/>
        <w:jc w:val="left"/>
        <w:rPr>
          <w:rFonts w:ascii="仿宋" w:hAnsi="仿宋" w:eastAsia="仿宋"/>
          <w:b/>
          <w:kern w:val="0"/>
          <w:sz w:val="24"/>
          <w:szCs w:val="20"/>
        </w:rPr>
      </w:pPr>
      <w:r>
        <w:rPr>
          <w:rFonts w:hint="eastAsia" w:ascii="仿宋" w:hAnsi="仿宋" w:eastAsia="仿宋"/>
          <w:b/>
          <w:kern w:val="0"/>
          <w:sz w:val="24"/>
          <w:szCs w:val="20"/>
        </w:rPr>
        <w:t>第十二条  考核等级</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季度考核得分达85分及以上为合格，75-85分（不含85分）为基本合格，75分（不含75分）以下为不合格。</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六、管理服务费用</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第十三条</w:t>
      </w:r>
      <w:r>
        <w:rPr>
          <w:rFonts w:hint="eastAsia" w:ascii="仿宋" w:hAnsi="仿宋" w:eastAsia="仿宋"/>
          <w:kern w:val="0"/>
          <w:sz w:val="24"/>
          <w:szCs w:val="20"/>
        </w:rPr>
        <w:t xml:space="preserve">  物业管理服务费合计人民币元</w:t>
      </w:r>
      <w:r>
        <w:rPr>
          <w:rFonts w:hint="eastAsia" w:ascii="仿宋" w:hAnsi="仿宋" w:eastAsia="仿宋"/>
          <w:kern w:val="0"/>
          <w:sz w:val="24"/>
          <w:szCs w:val="20"/>
          <w:u w:val="single"/>
        </w:rPr>
        <w:t xml:space="preserve">    </w:t>
      </w:r>
      <w:r>
        <w:rPr>
          <w:rFonts w:hint="eastAsia" w:ascii="仿宋" w:hAnsi="仿宋" w:eastAsia="仿宋"/>
          <w:kern w:val="0"/>
          <w:sz w:val="24"/>
          <w:szCs w:val="20"/>
        </w:rPr>
        <w:t>整(￥</w:t>
      </w:r>
      <w:r>
        <w:rPr>
          <w:rFonts w:hint="eastAsia" w:ascii="仿宋" w:hAnsi="仿宋" w:eastAsia="仿宋"/>
          <w:kern w:val="0"/>
          <w:sz w:val="24"/>
          <w:szCs w:val="20"/>
          <w:u w:val="single"/>
        </w:rPr>
        <w:t xml:space="preserve">  </w:t>
      </w:r>
      <w:r>
        <w:rPr>
          <w:rFonts w:hint="eastAsia" w:ascii="仿宋" w:hAnsi="仿宋" w:eastAsia="仿宋"/>
          <w:kern w:val="0"/>
          <w:sz w:val="24"/>
          <w:szCs w:val="20"/>
        </w:rPr>
        <w:t>)，根据季度考核结果按季度支付。季度考核等级为合格的，全额支付本季度服务费合计人民币</w:t>
      </w:r>
      <w:r>
        <w:rPr>
          <w:rFonts w:hint="eastAsia" w:ascii="仿宋" w:hAnsi="仿宋" w:eastAsia="仿宋"/>
          <w:kern w:val="0"/>
          <w:sz w:val="24"/>
          <w:szCs w:val="20"/>
          <w:u w:val="single"/>
        </w:rPr>
        <w:t xml:space="preserve">    </w:t>
      </w:r>
      <w:r>
        <w:rPr>
          <w:rFonts w:hint="eastAsia" w:ascii="仿宋" w:hAnsi="仿宋" w:eastAsia="仿宋"/>
          <w:kern w:val="0"/>
          <w:sz w:val="24"/>
          <w:szCs w:val="20"/>
        </w:rPr>
        <w:t>整（￥</w:t>
      </w:r>
      <w:r>
        <w:rPr>
          <w:rFonts w:hint="eastAsia" w:ascii="仿宋" w:hAnsi="仿宋" w:eastAsia="仿宋"/>
          <w:kern w:val="0"/>
          <w:sz w:val="24"/>
          <w:szCs w:val="20"/>
          <w:u w:val="single"/>
        </w:rPr>
        <w:t xml:space="preserve">  </w:t>
      </w:r>
      <w:r>
        <w:rPr>
          <w:rFonts w:hint="eastAsia" w:ascii="仿宋" w:hAnsi="仿宋" w:eastAsia="仿宋"/>
          <w:kern w:val="0"/>
          <w:sz w:val="24"/>
          <w:szCs w:val="20"/>
        </w:rPr>
        <w:t>）；季度考核等级为基本合格的，扣除当季度服务费的</w:t>
      </w:r>
      <w:r>
        <w:rPr>
          <w:rFonts w:ascii="仿宋" w:hAnsi="仿宋" w:eastAsia="仿宋"/>
          <w:color w:val="0000FF"/>
          <w:kern w:val="0"/>
          <w:sz w:val="24"/>
          <w:szCs w:val="20"/>
        </w:rPr>
        <w:t>5%</w:t>
      </w:r>
      <w:r>
        <w:rPr>
          <w:rFonts w:hint="eastAsia" w:ascii="仿宋" w:hAnsi="仿宋" w:eastAsia="仿宋"/>
          <w:kern w:val="0"/>
          <w:sz w:val="24"/>
          <w:szCs w:val="20"/>
        </w:rPr>
        <w:t>；季度考核等级为不合格的，扣除当季度服务费的</w:t>
      </w:r>
      <w:r>
        <w:rPr>
          <w:rFonts w:ascii="仿宋" w:hAnsi="仿宋" w:eastAsia="仿宋"/>
          <w:color w:val="0000FF"/>
          <w:kern w:val="0"/>
          <w:sz w:val="24"/>
          <w:szCs w:val="20"/>
        </w:rPr>
        <w:t>10%</w:t>
      </w:r>
      <w:r>
        <w:rPr>
          <w:rFonts w:hint="eastAsia" w:ascii="仿宋" w:hAnsi="仿宋" w:eastAsia="仿宋"/>
          <w:kern w:val="0"/>
          <w:sz w:val="24"/>
          <w:szCs w:val="20"/>
        </w:rPr>
        <w:t>。季度考核结果为基本合格及以下的，乙方需针对存在的问题立即整改，一个月内整改仍不达标，甲方有权立即解除合同，解除合同的通知自到达乙方时生效，甲方无需支付任何费用，乙方除应向甲方返还已收取但未实际提供服务的款项外（如有），还应支付甲方合同总价20%的违约金。</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第十四条</w:t>
      </w:r>
      <w:r>
        <w:rPr>
          <w:rFonts w:hint="eastAsia" w:ascii="仿宋" w:hAnsi="仿宋" w:eastAsia="仿宋"/>
          <w:kern w:val="0"/>
          <w:sz w:val="24"/>
          <w:szCs w:val="20"/>
        </w:rPr>
        <w:t xml:space="preserve">  甲方承担公共教学、会议等普通开水、直饮水的水费，物业办公使用的水电及通讯支出由乙方承担。</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七、违约责任</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第十五条</w:t>
      </w:r>
      <w:r>
        <w:rPr>
          <w:rFonts w:hint="eastAsia" w:ascii="仿宋" w:hAnsi="仿宋" w:eastAsia="仿宋"/>
          <w:kern w:val="0"/>
          <w:sz w:val="24"/>
          <w:szCs w:val="20"/>
        </w:rPr>
        <w:t xml:space="preserve">  签订本合同前，乙方须向甲方交纳中标金额的10%的费用作为履约保证金，汇至甲方指定账户。管理期满，因乙方管理服务不到位，造成委托管理范围内设施、设备损坏的，可修复的，甲方在扣除维修费后退还剩余履约保证金；无法修复的，按其折旧扣除，履约保证金不足赔偿的部分从合同款中扣除，责任由乙方承担，不足部分甲方有权向乙方追偿。</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第十六条</w:t>
      </w:r>
      <w:r>
        <w:rPr>
          <w:rFonts w:hint="eastAsia" w:ascii="仿宋" w:hAnsi="仿宋" w:eastAsia="仿宋"/>
          <w:kern w:val="0"/>
          <w:sz w:val="24"/>
          <w:szCs w:val="20"/>
        </w:rPr>
        <w:t xml:space="preserve">  甲方违反合同约定，使乙方未完成规定管理目标，乙方有权要求甲方在一定期限内解决，甲方不承担其他责任。</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第十七条</w:t>
      </w:r>
      <w:r>
        <w:rPr>
          <w:rFonts w:hint="eastAsia" w:ascii="仿宋" w:hAnsi="仿宋" w:eastAsia="仿宋"/>
          <w:kern w:val="0"/>
          <w:sz w:val="24"/>
          <w:szCs w:val="20"/>
        </w:rPr>
        <w:t xml:space="preserve">  因乙方原因，造成甲方、乙方或第三人人身、财产损失的，由乙方承担全部责任。如甲方承担了任何责任，可向对方全额追偿。属乙方维修任务范围内的项目，乙方未及时维修，甲方可安排第三方维修，费用由乙方支付，乙方未及时支付，费用从履约保证金中扣除，履约保证金不足赔偿的部分从合同款中扣除，不足部分甲方有权向乙方追偿。</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第十八条</w:t>
      </w:r>
      <w:r>
        <w:rPr>
          <w:rFonts w:hint="eastAsia" w:ascii="仿宋" w:hAnsi="仿宋" w:eastAsia="仿宋"/>
          <w:kern w:val="0"/>
          <w:sz w:val="24"/>
          <w:szCs w:val="20"/>
        </w:rPr>
        <w:t xml:space="preserve">  乙方未能达到约定的管理目标或乙方服务不符合约定的，甲方有权要求乙方限期整改，整改仍不达标，甲方有权立即解除合同，解除合同的通知自到达乙方时生效，甲方无需支付任何费用，所有责任由乙方承担。</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第十九条</w:t>
      </w:r>
      <w:r>
        <w:rPr>
          <w:rFonts w:hint="eastAsia" w:ascii="仿宋" w:hAnsi="仿宋" w:eastAsia="仿宋"/>
          <w:kern w:val="0"/>
          <w:sz w:val="24"/>
          <w:szCs w:val="20"/>
        </w:rPr>
        <w:t xml:space="preserve">  乙方派驻甲方的项目经理须与投标时承诺的人选相一致，项目执行过程中，未经甲方书面许可，不得擅自更换项目经理，否则甲方有权单方解除合同，解除合同的通知自到达乙方时生效，甲方无需支付任何费用，由此产生的所有损失由乙方承担。</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第二十条</w:t>
      </w:r>
      <w:r>
        <w:rPr>
          <w:rFonts w:hint="eastAsia" w:ascii="仿宋" w:hAnsi="仿宋" w:eastAsia="仿宋"/>
          <w:kern w:val="0"/>
          <w:sz w:val="24"/>
          <w:szCs w:val="20"/>
        </w:rPr>
        <w:t xml:space="preserve">  除了以上所述情形外，有下列情形之一的，甲方有权单方解除合同，解除合同的通知自到达乙方时生效，甲方无需支付费用，所有责任由乙方承担：</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1.因乙方原因，发生群体事件、重大事故、火灾等；</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2.物业服务人员殴打甲方或者任何校内人员的；</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3.乙方擅自转包、分包项目的；</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4.乙方未按投标文件配备人员及到岗的，经甲方督促仍未履行的；</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 xml:space="preserve">5.乙方对服务质量差的员工不及时调换，且2次达不到甲方要求的； </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6.由于乙方原因，导致甲方财产损失单次超过2万元或累计超过5万元；</w:t>
      </w:r>
    </w:p>
    <w:p>
      <w:pPr>
        <w:autoSpaceDE w:val="0"/>
        <w:autoSpaceDN w:val="0"/>
        <w:adjustRightInd w:val="0"/>
        <w:spacing w:line="480" w:lineRule="exact"/>
        <w:ind w:firstLine="480" w:firstLineChars="200"/>
        <w:jc w:val="left"/>
        <w:rPr>
          <w:rFonts w:ascii="仿宋" w:hAnsi="仿宋" w:eastAsia="仿宋"/>
          <w:kern w:val="0"/>
          <w:sz w:val="24"/>
          <w:szCs w:val="20"/>
        </w:rPr>
      </w:pPr>
      <w:r>
        <w:rPr>
          <w:rFonts w:hint="eastAsia" w:ascii="仿宋" w:hAnsi="仿宋" w:eastAsia="仿宋"/>
          <w:kern w:val="0"/>
          <w:sz w:val="24"/>
          <w:szCs w:val="20"/>
        </w:rPr>
        <w:t>7.其他损害甲方利益和给甲方造成不良影响的情形。</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第二十一条</w:t>
      </w:r>
      <w:r>
        <w:rPr>
          <w:rFonts w:hint="eastAsia" w:ascii="仿宋" w:hAnsi="仿宋" w:eastAsia="仿宋"/>
          <w:kern w:val="0"/>
          <w:sz w:val="24"/>
          <w:szCs w:val="20"/>
        </w:rPr>
        <w:t xml:space="preserve">  如乙方给甲方造成损失或不利影响，应当赔偿给甲方造成的损失并消除对甲方的不利影响。</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第二十二条</w:t>
      </w:r>
      <w:r>
        <w:rPr>
          <w:rFonts w:hint="eastAsia" w:ascii="仿宋" w:hAnsi="仿宋" w:eastAsia="仿宋"/>
          <w:kern w:val="0"/>
          <w:sz w:val="24"/>
          <w:szCs w:val="20"/>
        </w:rPr>
        <w:t xml:space="preserve">  甲、乙双方任一方无法律依据或合同约定提前解除合同的，违约方须赔偿对方贰万元的违约金，造成对方经济损失的，应当全额赔偿。</w:t>
      </w:r>
    </w:p>
    <w:p>
      <w:pPr>
        <w:autoSpaceDE w:val="0"/>
        <w:autoSpaceDN w:val="0"/>
        <w:adjustRightInd w:val="0"/>
        <w:spacing w:line="480" w:lineRule="exact"/>
        <w:jc w:val="center"/>
        <w:rPr>
          <w:rFonts w:ascii="仿宋" w:hAnsi="仿宋" w:eastAsia="仿宋"/>
          <w:b/>
          <w:kern w:val="0"/>
          <w:sz w:val="28"/>
          <w:szCs w:val="28"/>
        </w:rPr>
      </w:pPr>
      <w:r>
        <w:rPr>
          <w:rFonts w:hint="eastAsia" w:ascii="仿宋" w:hAnsi="仿宋" w:eastAsia="仿宋"/>
          <w:b/>
          <w:kern w:val="0"/>
          <w:sz w:val="28"/>
          <w:szCs w:val="28"/>
        </w:rPr>
        <w:t>八、附 则</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第二十三条</w:t>
      </w:r>
      <w:r>
        <w:rPr>
          <w:rFonts w:hint="eastAsia" w:ascii="仿宋" w:hAnsi="仿宋" w:eastAsia="仿宋"/>
          <w:kern w:val="0"/>
          <w:sz w:val="24"/>
          <w:szCs w:val="20"/>
        </w:rPr>
        <w:t xml:space="preserve">  双方约定自本合同生效之日起7天内，根据甲方委托管理事项，办完交接验收手续。</w:t>
      </w:r>
    </w:p>
    <w:p>
      <w:pPr>
        <w:autoSpaceDE w:val="0"/>
        <w:autoSpaceDN w:val="0"/>
        <w:adjustRightInd w:val="0"/>
        <w:spacing w:line="360" w:lineRule="auto"/>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第二十四条  </w:t>
      </w:r>
      <w:r>
        <w:rPr>
          <w:rFonts w:hint="eastAsia" w:ascii="仿宋" w:hAnsi="仿宋" w:eastAsia="仿宋"/>
          <w:kern w:val="0"/>
          <w:sz w:val="24"/>
          <w:szCs w:val="20"/>
        </w:rPr>
        <w:t>根据运行的实际情况，双方可对本合同的条款进行补充，以书面形式签订补充协议，补充协议与本合同具有同等效力。</w:t>
      </w:r>
    </w:p>
    <w:p>
      <w:pPr>
        <w:autoSpaceDE w:val="0"/>
        <w:autoSpaceDN w:val="0"/>
        <w:adjustRightInd w:val="0"/>
        <w:spacing w:line="360" w:lineRule="auto"/>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第二十五条  </w:t>
      </w:r>
      <w:r>
        <w:rPr>
          <w:rFonts w:hint="eastAsia" w:ascii="仿宋" w:hAnsi="仿宋" w:eastAsia="仿宋"/>
          <w:kern w:val="0"/>
          <w:sz w:val="24"/>
          <w:szCs w:val="20"/>
        </w:rPr>
        <w:t>组成本合同的文件包括：</w:t>
      </w:r>
    </w:p>
    <w:p>
      <w:pPr>
        <w:autoSpaceDE w:val="0"/>
        <w:autoSpaceDN w:val="0"/>
        <w:adjustRightInd w:val="0"/>
        <w:spacing w:line="360" w:lineRule="auto"/>
        <w:ind w:firstLine="480" w:firstLineChars="200"/>
        <w:jc w:val="left"/>
        <w:rPr>
          <w:rFonts w:ascii="仿宋" w:hAnsi="仿宋" w:eastAsia="仿宋"/>
          <w:kern w:val="0"/>
          <w:sz w:val="24"/>
          <w:szCs w:val="20"/>
        </w:rPr>
      </w:pPr>
      <w:r>
        <w:rPr>
          <w:rFonts w:hint="eastAsia" w:ascii="仿宋" w:hAnsi="仿宋" w:eastAsia="仿宋"/>
          <w:kern w:val="0"/>
          <w:sz w:val="24"/>
          <w:szCs w:val="20"/>
        </w:rPr>
        <w:t>1.采购文件和乙方的响应文件；</w:t>
      </w:r>
    </w:p>
    <w:p>
      <w:pPr>
        <w:autoSpaceDE w:val="0"/>
        <w:autoSpaceDN w:val="0"/>
        <w:adjustRightInd w:val="0"/>
        <w:spacing w:line="360" w:lineRule="auto"/>
        <w:ind w:firstLine="480" w:firstLineChars="200"/>
        <w:jc w:val="left"/>
        <w:rPr>
          <w:rFonts w:ascii="仿宋" w:hAnsi="仿宋" w:eastAsia="仿宋"/>
          <w:kern w:val="0"/>
          <w:sz w:val="24"/>
          <w:szCs w:val="20"/>
        </w:rPr>
      </w:pPr>
      <w:r>
        <w:rPr>
          <w:rFonts w:hint="eastAsia" w:ascii="仿宋" w:hAnsi="仿宋" w:eastAsia="仿宋"/>
          <w:kern w:val="0"/>
          <w:sz w:val="24"/>
          <w:szCs w:val="20"/>
        </w:rPr>
        <w:t>2.成交通知书；</w:t>
      </w:r>
    </w:p>
    <w:p>
      <w:pPr>
        <w:spacing w:line="360" w:lineRule="auto"/>
        <w:ind w:firstLine="480" w:firstLineChars="200"/>
      </w:pPr>
      <w:r>
        <w:rPr>
          <w:rFonts w:hint="eastAsia" w:ascii="仿宋" w:hAnsi="仿宋" w:eastAsia="仿宋"/>
          <w:kern w:val="0"/>
          <w:sz w:val="24"/>
          <w:szCs w:val="20"/>
        </w:rPr>
        <w:t>3.甲乙双方商定的其他文件：</w:t>
      </w:r>
      <w:r>
        <w:rPr>
          <w:rFonts w:hint="eastAsia" w:ascii="仿宋" w:hAnsi="仿宋" w:eastAsia="仿宋"/>
          <w:kern w:val="0"/>
          <w:sz w:val="24"/>
          <w:szCs w:val="20"/>
          <w:u w:val="single"/>
        </w:rPr>
        <w:t xml:space="preserve">附件一 河海大学物业监督管理日常检查记录表；附件二 河海大学物业监督管理服务测评表；附件三 河海大学物业监督管理专项检查测评表（公寓管理用）；附件四 河海大学物业监督管理专项检查测评表         </w:t>
      </w:r>
      <w:r>
        <w:rPr>
          <w:rFonts w:hint="eastAsia" w:ascii="仿宋" w:hAnsi="仿宋" w:eastAsia="仿宋"/>
          <w:kern w:val="0"/>
          <w:sz w:val="24"/>
          <w:szCs w:val="20"/>
        </w:rPr>
        <w:t>。</w:t>
      </w:r>
    </w:p>
    <w:p>
      <w:pPr>
        <w:autoSpaceDE w:val="0"/>
        <w:autoSpaceDN w:val="0"/>
        <w:adjustRightInd w:val="0"/>
        <w:spacing w:line="360" w:lineRule="auto"/>
        <w:jc w:val="left"/>
        <w:rPr>
          <w:rFonts w:ascii="仿宋" w:hAnsi="仿宋" w:eastAsia="仿宋"/>
          <w:kern w:val="0"/>
          <w:sz w:val="24"/>
          <w:szCs w:val="20"/>
        </w:rPr>
      </w:pPr>
      <w:r>
        <w:rPr>
          <w:rFonts w:hint="eastAsia" w:ascii="仿宋" w:hAnsi="仿宋" w:eastAsia="仿宋"/>
          <w:kern w:val="0"/>
          <w:sz w:val="24"/>
          <w:szCs w:val="20"/>
        </w:rPr>
        <w:t>上述合同文件内容互为补充，均为合同的有效组成部分，与本合同具有同等效力，如有不明确，由甲方负责解释。</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第二十六条  </w:t>
      </w:r>
      <w:r>
        <w:rPr>
          <w:rFonts w:hint="eastAsia" w:ascii="仿宋" w:hAnsi="仿宋" w:eastAsia="仿宋"/>
          <w:kern w:val="0"/>
          <w:sz w:val="24"/>
          <w:szCs w:val="20"/>
        </w:rPr>
        <w:t>本合同及其附件和补充协议中规定的事宜，均遵照中华人民共和国有关法律、法规和政策执行。</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第二十七条  </w:t>
      </w:r>
      <w:r>
        <w:rPr>
          <w:rFonts w:hint="eastAsia" w:ascii="仿宋" w:hAnsi="仿宋" w:eastAsia="仿宋"/>
          <w:kern w:val="0"/>
          <w:sz w:val="24"/>
          <w:szCs w:val="20"/>
        </w:rPr>
        <w:t>本合同正本连同附件，一式捌份，甲方存陆份，乙方存贰份，具有同等法律效力。</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第二十八条  </w:t>
      </w:r>
      <w:r>
        <w:rPr>
          <w:rFonts w:hint="eastAsia" w:ascii="仿宋" w:hAnsi="仿宋" w:eastAsia="仿宋"/>
          <w:kern w:val="0"/>
          <w:sz w:val="24"/>
          <w:szCs w:val="20"/>
        </w:rPr>
        <w:t>如发生争议，双方应协商解决。协商不能解决的，向甲方所在地人民法院</w:t>
      </w:r>
      <w:r>
        <w:rPr>
          <w:rFonts w:ascii="仿宋" w:hAnsi="仿宋" w:eastAsia="仿宋"/>
          <w:kern w:val="0"/>
          <w:sz w:val="24"/>
          <w:szCs w:val="20"/>
        </w:rPr>
        <w:t>诉讼解决</w:t>
      </w:r>
      <w:r>
        <w:rPr>
          <w:rFonts w:hint="eastAsia" w:ascii="仿宋" w:hAnsi="仿宋" w:eastAsia="仿宋"/>
          <w:kern w:val="0"/>
          <w:sz w:val="24"/>
          <w:szCs w:val="20"/>
        </w:rPr>
        <w:t>。因诉讼产生的相关费用及开支（包括但不限于公证费、诉讼费、鉴定费、保全担保费、律师费、交通费用）均由败诉方承担。</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第二十九条  </w:t>
      </w:r>
      <w:r>
        <w:rPr>
          <w:rFonts w:hint="eastAsia" w:ascii="仿宋" w:hAnsi="仿宋" w:eastAsia="仿宋"/>
          <w:kern w:val="0"/>
          <w:sz w:val="24"/>
          <w:szCs w:val="20"/>
        </w:rPr>
        <w:t>本合同自双方签字盖章之日起生效，合同期满本合同自然终止。</w:t>
      </w:r>
    </w:p>
    <w:p>
      <w:pPr>
        <w:autoSpaceDE w:val="0"/>
        <w:autoSpaceDN w:val="0"/>
        <w:adjustRightInd w:val="0"/>
        <w:spacing w:line="480" w:lineRule="exact"/>
        <w:ind w:firstLine="482" w:firstLineChars="200"/>
        <w:jc w:val="left"/>
        <w:rPr>
          <w:rFonts w:ascii="仿宋" w:hAnsi="仿宋" w:eastAsia="仿宋"/>
          <w:kern w:val="0"/>
          <w:sz w:val="24"/>
          <w:szCs w:val="20"/>
        </w:rPr>
      </w:pPr>
      <w:r>
        <w:rPr>
          <w:rFonts w:hint="eastAsia" w:ascii="仿宋" w:hAnsi="仿宋" w:eastAsia="仿宋"/>
          <w:b/>
          <w:kern w:val="0"/>
          <w:sz w:val="24"/>
          <w:szCs w:val="20"/>
        </w:rPr>
        <w:t xml:space="preserve">第三十条  </w:t>
      </w:r>
      <w:r>
        <w:rPr>
          <w:rFonts w:hint="eastAsia" w:ascii="仿宋" w:hAnsi="仿宋" w:eastAsia="仿宋"/>
          <w:kern w:val="0"/>
          <w:sz w:val="24"/>
          <w:szCs w:val="20"/>
        </w:rPr>
        <w:t>本合同签约后由甲方后勤处履行检查监督职权。</w:t>
      </w:r>
    </w:p>
    <w:p>
      <w:pPr>
        <w:pStyle w:val="2"/>
        <w:ind w:firstLine="488" w:firstLineChars="0"/>
      </w:pPr>
    </w:p>
    <w:p>
      <w:pPr>
        <w:autoSpaceDE w:val="0"/>
        <w:autoSpaceDN w:val="0"/>
        <w:adjustRightInd w:val="0"/>
        <w:spacing w:line="480" w:lineRule="exact"/>
        <w:ind w:firstLine="562"/>
        <w:jc w:val="left"/>
        <w:rPr>
          <w:rFonts w:ascii="仿宋" w:hAnsi="仿宋" w:eastAsia="仿宋"/>
          <w:kern w:val="0"/>
          <w:sz w:val="24"/>
          <w:szCs w:val="20"/>
        </w:rPr>
      </w:pPr>
      <w:r>
        <w:rPr>
          <w:rFonts w:hint="eastAsia" w:ascii="仿宋" w:hAnsi="仿宋" w:eastAsia="仿宋"/>
          <w:kern w:val="0"/>
          <w:sz w:val="24"/>
          <w:szCs w:val="20"/>
        </w:rPr>
        <w:t>甲  方（盖章）：河海大学           乙  方（盖章）：</w:t>
      </w:r>
      <w:r>
        <w:rPr>
          <w:rFonts w:ascii="仿宋" w:hAnsi="仿宋" w:eastAsia="仿宋"/>
          <w:kern w:val="0"/>
          <w:sz w:val="24"/>
          <w:szCs w:val="20"/>
        </w:rPr>
        <w:t xml:space="preserve"> </w:t>
      </w:r>
    </w:p>
    <w:p>
      <w:pPr>
        <w:autoSpaceDE w:val="0"/>
        <w:autoSpaceDN w:val="0"/>
        <w:adjustRightInd w:val="0"/>
        <w:spacing w:line="480" w:lineRule="exact"/>
        <w:ind w:firstLine="562"/>
        <w:jc w:val="left"/>
        <w:rPr>
          <w:rFonts w:ascii="仿宋" w:hAnsi="仿宋" w:eastAsia="仿宋"/>
          <w:kern w:val="0"/>
          <w:sz w:val="24"/>
          <w:szCs w:val="20"/>
        </w:rPr>
      </w:pPr>
      <w:r>
        <w:rPr>
          <w:rFonts w:hint="eastAsia" w:ascii="仿宋" w:hAnsi="仿宋" w:eastAsia="仿宋"/>
          <w:kern w:val="0"/>
          <w:sz w:val="24"/>
          <w:szCs w:val="20"/>
        </w:rPr>
        <w:t>负责人：                   　     负责人：</w:t>
      </w:r>
    </w:p>
    <w:p>
      <w:pPr>
        <w:autoSpaceDE w:val="0"/>
        <w:autoSpaceDN w:val="0"/>
        <w:adjustRightInd w:val="0"/>
        <w:spacing w:line="480" w:lineRule="exact"/>
        <w:ind w:firstLine="562"/>
        <w:jc w:val="left"/>
        <w:rPr>
          <w:rFonts w:ascii="仿宋" w:hAnsi="仿宋" w:eastAsia="仿宋"/>
          <w:kern w:val="0"/>
          <w:sz w:val="24"/>
          <w:szCs w:val="20"/>
        </w:rPr>
      </w:pPr>
      <w:r>
        <w:rPr>
          <w:rFonts w:hint="eastAsia" w:ascii="仿宋" w:hAnsi="仿宋" w:eastAsia="仿宋"/>
          <w:kern w:val="0"/>
          <w:sz w:val="24"/>
          <w:szCs w:val="20"/>
        </w:rPr>
        <w:t>经办人及电话：                    经办人及电话：</w:t>
      </w:r>
    </w:p>
    <w:p>
      <w:pPr>
        <w:autoSpaceDE w:val="0"/>
        <w:autoSpaceDN w:val="0"/>
        <w:adjustRightInd w:val="0"/>
        <w:jc w:val="left"/>
        <w:rPr>
          <w:rFonts w:ascii="仿宋" w:hAnsi="仿宋" w:eastAsia="仿宋"/>
          <w:kern w:val="0"/>
          <w:sz w:val="24"/>
          <w:szCs w:val="20"/>
        </w:rPr>
      </w:pPr>
      <w:r>
        <w:rPr>
          <w:rFonts w:hint="eastAsia" w:ascii="仿宋" w:hAnsi="仿宋" w:eastAsia="仿宋"/>
          <w:kern w:val="0"/>
          <w:sz w:val="24"/>
          <w:szCs w:val="20"/>
        </w:rPr>
        <w:t xml:space="preserve">      </w:t>
      </w:r>
    </w:p>
    <w:p>
      <w:pPr>
        <w:autoSpaceDE w:val="0"/>
        <w:autoSpaceDN w:val="0"/>
        <w:adjustRightInd w:val="0"/>
        <w:jc w:val="left"/>
        <w:rPr>
          <w:rFonts w:ascii="仿宋" w:hAnsi="仿宋" w:eastAsia="仿宋"/>
          <w:kern w:val="0"/>
          <w:sz w:val="24"/>
          <w:szCs w:val="20"/>
        </w:rPr>
      </w:pPr>
    </w:p>
    <w:p>
      <w:pPr>
        <w:autoSpaceDE w:val="0"/>
        <w:autoSpaceDN w:val="0"/>
        <w:adjustRightInd w:val="0"/>
        <w:ind w:firstLine="2280" w:firstLineChars="950"/>
        <w:jc w:val="right"/>
        <w:rPr>
          <w:rFonts w:ascii="仿宋" w:hAnsi="仿宋" w:eastAsia="仿宋"/>
          <w:b/>
          <w:kern w:val="0"/>
          <w:sz w:val="30"/>
          <w:szCs w:val="30"/>
        </w:rPr>
      </w:pPr>
      <w:r>
        <w:rPr>
          <w:rFonts w:hint="eastAsia" w:ascii="仿宋" w:hAnsi="仿宋" w:eastAsia="仿宋"/>
          <w:kern w:val="0"/>
          <w:sz w:val="24"/>
          <w:szCs w:val="20"/>
        </w:rPr>
        <w:t>年  月  日</w:t>
      </w:r>
      <w:r>
        <w:rPr>
          <w:rFonts w:ascii="仿宋" w:hAnsi="仿宋" w:eastAsia="仿宋"/>
          <w:kern w:val="0"/>
          <w:sz w:val="24"/>
          <w:szCs w:val="20"/>
        </w:rPr>
        <w:t xml:space="preserve">           </w:t>
      </w:r>
      <w:r>
        <w:rPr>
          <w:rFonts w:hint="eastAsia" w:ascii="仿宋" w:hAnsi="仿宋" w:eastAsia="仿宋"/>
          <w:kern w:val="0"/>
          <w:sz w:val="24"/>
          <w:szCs w:val="20"/>
        </w:rPr>
        <w:t xml:space="preserve">               年  月  日</w:t>
      </w:r>
    </w:p>
    <w:p>
      <w:pPr>
        <w:autoSpaceDE w:val="0"/>
        <w:autoSpaceDN w:val="0"/>
        <w:adjustRightInd w:val="0"/>
        <w:jc w:val="center"/>
        <w:rPr>
          <w:rFonts w:ascii="仿宋" w:hAnsi="仿宋" w:eastAsia="仿宋"/>
          <w:b/>
          <w:kern w:val="0"/>
          <w:sz w:val="30"/>
          <w:szCs w:val="30"/>
        </w:rPr>
      </w:pPr>
    </w:p>
    <w:p>
      <w:pPr>
        <w:autoSpaceDE w:val="0"/>
        <w:autoSpaceDN w:val="0"/>
        <w:adjustRightInd w:val="0"/>
        <w:jc w:val="center"/>
        <w:rPr>
          <w:rFonts w:ascii="仿宋" w:hAnsi="仿宋" w:eastAsia="仿宋"/>
          <w:b/>
          <w:kern w:val="0"/>
          <w:sz w:val="30"/>
          <w:szCs w:val="30"/>
        </w:rPr>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pStyle w:val="2"/>
        <w:ind w:firstLine="428"/>
      </w:pPr>
    </w:p>
    <w:p>
      <w:pPr>
        <w:autoSpaceDE w:val="0"/>
        <w:autoSpaceDN w:val="0"/>
        <w:adjustRightInd w:val="0"/>
        <w:rPr>
          <w:rFonts w:ascii="仿宋" w:hAnsi="仿宋" w:eastAsia="仿宋"/>
          <w:b/>
          <w:kern w:val="0"/>
          <w:sz w:val="30"/>
          <w:szCs w:val="30"/>
        </w:rPr>
      </w:pPr>
    </w:p>
    <w:p>
      <w:pPr>
        <w:autoSpaceDE w:val="0"/>
        <w:autoSpaceDN w:val="0"/>
        <w:adjustRightInd w:val="0"/>
        <w:jc w:val="center"/>
        <w:rPr>
          <w:rFonts w:ascii="仿宋" w:hAnsi="仿宋" w:eastAsia="仿宋"/>
          <w:b/>
          <w:kern w:val="0"/>
          <w:sz w:val="30"/>
          <w:szCs w:val="30"/>
        </w:rPr>
      </w:pPr>
      <w:r>
        <w:rPr>
          <w:rFonts w:hint="eastAsia" w:ascii="仿宋" w:hAnsi="仿宋" w:eastAsia="仿宋"/>
          <w:b/>
          <w:kern w:val="0"/>
          <w:sz w:val="30"/>
          <w:szCs w:val="30"/>
        </w:rPr>
        <w:t>合 同 附 件</w:t>
      </w:r>
    </w:p>
    <w:p>
      <w:pPr>
        <w:autoSpaceDE w:val="0"/>
        <w:autoSpaceDN w:val="0"/>
        <w:adjustRightInd w:val="0"/>
        <w:spacing w:line="440" w:lineRule="exact"/>
        <w:jc w:val="left"/>
        <w:rPr>
          <w:rFonts w:ascii="仿宋_GB2312" w:hAnsi="Calibri" w:eastAsia="仿宋_GB2312"/>
          <w:kern w:val="0"/>
          <w:sz w:val="28"/>
          <w:szCs w:val="20"/>
        </w:rPr>
      </w:pPr>
      <w:r>
        <w:rPr>
          <w:rFonts w:hint="eastAsia" w:ascii="Calibri" w:hAnsi="Calibri" w:eastAsia="仿宋_GB2312"/>
          <w:kern w:val="0"/>
          <w:sz w:val="30"/>
          <w:szCs w:val="30"/>
        </w:rPr>
        <w:t>附件</w:t>
      </w:r>
      <w:r>
        <w:rPr>
          <w:rFonts w:hint="eastAsia" w:ascii="仿宋_GB2312" w:hAnsi="Calibri" w:eastAsia="仿宋_GB2312"/>
          <w:kern w:val="0"/>
          <w:sz w:val="28"/>
          <w:szCs w:val="20"/>
        </w:rPr>
        <w:t>1：</w:t>
      </w:r>
    </w:p>
    <w:p>
      <w:pPr>
        <w:autoSpaceDE w:val="0"/>
        <w:autoSpaceDN w:val="0"/>
        <w:adjustRightInd w:val="0"/>
        <w:spacing w:after="312" w:afterLines="100" w:line="440" w:lineRule="exact"/>
        <w:jc w:val="center"/>
        <w:rPr>
          <w:rFonts w:ascii="仿宋" w:hAnsi="仿宋" w:eastAsia="仿宋"/>
          <w:kern w:val="0"/>
          <w:sz w:val="36"/>
          <w:szCs w:val="36"/>
        </w:rPr>
      </w:pPr>
      <w:r>
        <w:rPr>
          <w:rFonts w:hint="eastAsia" w:ascii="仿宋" w:hAnsi="仿宋" w:eastAsia="仿宋"/>
          <w:kern w:val="0"/>
          <w:sz w:val="36"/>
          <w:szCs w:val="36"/>
        </w:rPr>
        <w:t>河海大学物业监督管理日常检查记录表</w:t>
      </w:r>
    </w:p>
    <w:p>
      <w:pPr>
        <w:autoSpaceDE w:val="0"/>
        <w:autoSpaceDN w:val="0"/>
        <w:adjustRightInd w:val="0"/>
        <w:spacing w:before="156" w:beforeLines="50" w:after="156" w:afterLines="50" w:line="320" w:lineRule="exact"/>
        <w:jc w:val="left"/>
        <w:rPr>
          <w:rFonts w:ascii="仿宋_GB2312" w:hAnsi="Calibri" w:eastAsia="仿宋_GB2312"/>
          <w:kern w:val="0"/>
          <w:sz w:val="28"/>
          <w:szCs w:val="20"/>
        </w:rPr>
      </w:pPr>
      <w:r>
        <w:rPr>
          <w:rFonts w:hint="eastAsia" w:ascii="仿宋_GB2312" w:hAnsi="Calibri" w:eastAsia="仿宋_GB2312"/>
          <w:kern w:val="0"/>
          <w:sz w:val="28"/>
          <w:szCs w:val="20"/>
        </w:rPr>
        <w:t xml:space="preserve">日期：       年   月   日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2700"/>
        <w:gridCol w:w="144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2088" w:type="dxa"/>
            <w:vAlign w:val="center"/>
          </w:tcPr>
          <w:p>
            <w:pPr>
              <w:autoSpaceDE w:val="0"/>
              <w:autoSpaceDN w:val="0"/>
              <w:adjustRightInd w:val="0"/>
              <w:jc w:val="center"/>
              <w:rPr>
                <w:rFonts w:ascii="仿宋_GB2312" w:hAnsi="Calibri" w:eastAsia="仿宋_GB2312"/>
                <w:kern w:val="0"/>
                <w:sz w:val="28"/>
                <w:szCs w:val="20"/>
              </w:rPr>
            </w:pPr>
            <w:r>
              <w:rPr>
                <w:rFonts w:hint="eastAsia" w:ascii="仿宋_GB2312" w:hAnsi="Calibri" w:eastAsia="仿宋_GB2312"/>
                <w:kern w:val="0"/>
                <w:sz w:val="28"/>
                <w:szCs w:val="20"/>
              </w:rPr>
              <w:t>检查物业单位</w:t>
            </w:r>
          </w:p>
        </w:tc>
        <w:tc>
          <w:tcPr>
            <w:tcW w:w="2700" w:type="dxa"/>
            <w:vAlign w:val="center"/>
          </w:tcPr>
          <w:p>
            <w:pPr>
              <w:autoSpaceDE w:val="0"/>
              <w:autoSpaceDN w:val="0"/>
              <w:adjustRightInd w:val="0"/>
              <w:jc w:val="center"/>
              <w:rPr>
                <w:rFonts w:ascii="仿宋_GB2312" w:hAnsi="Calibri" w:eastAsia="仿宋_GB2312"/>
                <w:kern w:val="0"/>
                <w:sz w:val="28"/>
                <w:szCs w:val="20"/>
              </w:rPr>
            </w:pPr>
          </w:p>
        </w:tc>
        <w:tc>
          <w:tcPr>
            <w:tcW w:w="1440" w:type="dxa"/>
            <w:vAlign w:val="center"/>
          </w:tcPr>
          <w:p>
            <w:pPr>
              <w:autoSpaceDE w:val="0"/>
              <w:autoSpaceDN w:val="0"/>
              <w:adjustRightInd w:val="0"/>
              <w:jc w:val="center"/>
              <w:rPr>
                <w:rFonts w:ascii="仿宋_GB2312" w:hAnsi="Calibri" w:eastAsia="仿宋_GB2312"/>
                <w:kern w:val="0"/>
                <w:sz w:val="28"/>
                <w:szCs w:val="20"/>
              </w:rPr>
            </w:pPr>
            <w:r>
              <w:rPr>
                <w:rFonts w:hint="eastAsia" w:ascii="仿宋_GB2312" w:hAnsi="Calibri" w:eastAsia="仿宋_GB2312"/>
                <w:kern w:val="0"/>
                <w:sz w:val="28"/>
                <w:szCs w:val="20"/>
              </w:rPr>
              <w:t>检查地点</w:t>
            </w:r>
          </w:p>
        </w:tc>
        <w:tc>
          <w:tcPr>
            <w:tcW w:w="3060" w:type="dxa"/>
            <w:vAlign w:val="center"/>
          </w:tcPr>
          <w:p>
            <w:pPr>
              <w:autoSpaceDE w:val="0"/>
              <w:autoSpaceDN w:val="0"/>
              <w:adjustRightInd w:val="0"/>
              <w:jc w:val="center"/>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2088" w:type="dxa"/>
            <w:vAlign w:val="center"/>
          </w:tcPr>
          <w:p>
            <w:pPr>
              <w:autoSpaceDE w:val="0"/>
              <w:autoSpaceDN w:val="0"/>
              <w:adjustRightInd w:val="0"/>
              <w:spacing w:line="320" w:lineRule="exact"/>
              <w:jc w:val="center"/>
              <w:rPr>
                <w:rFonts w:ascii="仿宋_GB2312" w:hAnsi="Calibri" w:eastAsia="仿宋_GB2312"/>
                <w:kern w:val="0"/>
                <w:sz w:val="28"/>
                <w:szCs w:val="20"/>
              </w:rPr>
            </w:pPr>
            <w:r>
              <w:rPr>
                <w:rFonts w:hint="eastAsia" w:ascii="仿宋_GB2312" w:hAnsi="Calibri" w:eastAsia="仿宋_GB2312"/>
                <w:kern w:val="0"/>
                <w:sz w:val="28"/>
                <w:szCs w:val="20"/>
              </w:rPr>
              <w:t>检查内容</w:t>
            </w:r>
          </w:p>
        </w:tc>
        <w:tc>
          <w:tcPr>
            <w:tcW w:w="7200" w:type="dxa"/>
            <w:gridSpan w:val="3"/>
          </w:tcPr>
          <w:p>
            <w:pPr>
              <w:autoSpaceDE w:val="0"/>
              <w:autoSpaceDN w:val="0"/>
              <w:adjustRightInd w:val="0"/>
              <w:spacing w:before="156" w:beforeLines="50" w:line="32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2" w:hRule="atLeast"/>
          <w:jc w:val="center"/>
        </w:trPr>
        <w:tc>
          <w:tcPr>
            <w:tcW w:w="2088" w:type="dxa"/>
            <w:vAlign w:val="center"/>
          </w:tcPr>
          <w:p>
            <w:pPr>
              <w:autoSpaceDE w:val="0"/>
              <w:autoSpaceDN w:val="0"/>
              <w:adjustRightInd w:val="0"/>
              <w:spacing w:line="320" w:lineRule="exact"/>
              <w:jc w:val="center"/>
              <w:rPr>
                <w:rFonts w:ascii="仿宋_GB2312" w:hAnsi="Calibri" w:eastAsia="仿宋_GB2312"/>
                <w:kern w:val="0"/>
                <w:sz w:val="28"/>
                <w:szCs w:val="20"/>
              </w:rPr>
            </w:pPr>
            <w:r>
              <w:rPr>
                <w:rFonts w:hint="eastAsia" w:ascii="仿宋_GB2312" w:hAnsi="Calibri" w:eastAsia="仿宋_GB2312"/>
                <w:kern w:val="0"/>
                <w:sz w:val="28"/>
                <w:szCs w:val="20"/>
              </w:rPr>
              <w:t>检查情况及发现问题</w:t>
            </w:r>
          </w:p>
        </w:tc>
        <w:tc>
          <w:tcPr>
            <w:tcW w:w="7200" w:type="dxa"/>
            <w:gridSpan w:val="3"/>
          </w:tcPr>
          <w:p>
            <w:pPr>
              <w:autoSpaceDE w:val="0"/>
              <w:autoSpaceDN w:val="0"/>
              <w:adjustRightInd w:val="0"/>
              <w:spacing w:before="156" w:beforeLines="50" w:line="32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exact"/>
          <w:jc w:val="center"/>
        </w:trPr>
        <w:tc>
          <w:tcPr>
            <w:tcW w:w="2088" w:type="dxa"/>
            <w:vAlign w:val="center"/>
          </w:tcPr>
          <w:p>
            <w:pPr>
              <w:autoSpaceDE w:val="0"/>
              <w:autoSpaceDN w:val="0"/>
              <w:adjustRightInd w:val="0"/>
              <w:spacing w:line="320" w:lineRule="exact"/>
              <w:jc w:val="center"/>
              <w:rPr>
                <w:rFonts w:ascii="仿宋_GB2312" w:hAnsi="Calibri" w:eastAsia="仿宋_GB2312"/>
                <w:kern w:val="0"/>
                <w:sz w:val="28"/>
                <w:szCs w:val="20"/>
              </w:rPr>
            </w:pPr>
            <w:r>
              <w:rPr>
                <w:rFonts w:hint="eastAsia" w:ascii="仿宋_GB2312" w:hAnsi="Calibri" w:eastAsia="仿宋_GB2312"/>
                <w:kern w:val="0"/>
                <w:sz w:val="28"/>
                <w:szCs w:val="20"/>
              </w:rPr>
              <w:t>整改落实情况</w:t>
            </w:r>
          </w:p>
        </w:tc>
        <w:tc>
          <w:tcPr>
            <w:tcW w:w="7200" w:type="dxa"/>
            <w:gridSpan w:val="3"/>
          </w:tcPr>
          <w:p>
            <w:pPr>
              <w:autoSpaceDE w:val="0"/>
              <w:autoSpaceDN w:val="0"/>
              <w:adjustRightInd w:val="0"/>
              <w:spacing w:before="156" w:beforeLines="50" w:line="32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088" w:type="dxa"/>
            <w:vAlign w:val="center"/>
          </w:tcPr>
          <w:p>
            <w:pPr>
              <w:autoSpaceDE w:val="0"/>
              <w:autoSpaceDN w:val="0"/>
              <w:adjustRightInd w:val="0"/>
              <w:spacing w:line="320" w:lineRule="exact"/>
              <w:jc w:val="center"/>
              <w:rPr>
                <w:rFonts w:ascii="仿宋_GB2312" w:hAnsi="Calibri" w:eastAsia="仿宋_GB2312"/>
                <w:kern w:val="0"/>
                <w:sz w:val="28"/>
                <w:szCs w:val="20"/>
              </w:rPr>
            </w:pPr>
            <w:r>
              <w:rPr>
                <w:rFonts w:hint="eastAsia" w:ascii="仿宋_GB2312" w:hAnsi="Calibri" w:eastAsia="仿宋_GB2312"/>
                <w:kern w:val="0"/>
                <w:sz w:val="28"/>
                <w:szCs w:val="20"/>
              </w:rPr>
              <w:t>备 注</w:t>
            </w:r>
          </w:p>
        </w:tc>
        <w:tc>
          <w:tcPr>
            <w:tcW w:w="7200" w:type="dxa"/>
            <w:gridSpan w:val="3"/>
          </w:tcPr>
          <w:p>
            <w:pPr>
              <w:autoSpaceDE w:val="0"/>
              <w:autoSpaceDN w:val="0"/>
              <w:adjustRightInd w:val="0"/>
              <w:spacing w:before="156" w:beforeLines="50" w:line="320" w:lineRule="exact"/>
              <w:jc w:val="left"/>
              <w:rPr>
                <w:rFonts w:ascii="仿宋_GB2312" w:hAnsi="Calibri" w:eastAsia="仿宋_GB2312"/>
                <w:kern w:val="0"/>
                <w:sz w:val="28"/>
                <w:szCs w:val="20"/>
              </w:rPr>
            </w:pPr>
          </w:p>
        </w:tc>
      </w:tr>
    </w:tbl>
    <w:p>
      <w:pPr>
        <w:autoSpaceDE w:val="0"/>
        <w:autoSpaceDN w:val="0"/>
        <w:adjustRightInd w:val="0"/>
        <w:spacing w:before="156" w:beforeLines="50" w:line="320" w:lineRule="exact"/>
        <w:ind w:firstLine="280" w:firstLineChars="100"/>
        <w:jc w:val="left"/>
        <w:rPr>
          <w:rFonts w:ascii="仿宋_GB2312" w:hAnsi="Calibri" w:eastAsia="仿宋_GB2312"/>
          <w:kern w:val="0"/>
          <w:sz w:val="28"/>
          <w:szCs w:val="20"/>
        </w:rPr>
      </w:pPr>
      <w:r>
        <w:rPr>
          <w:rFonts w:hint="eastAsia" w:ascii="仿宋_GB2312" w:hAnsi="Calibri" w:eastAsia="仿宋_GB2312"/>
          <w:kern w:val="0"/>
          <w:sz w:val="28"/>
          <w:szCs w:val="20"/>
        </w:rPr>
        <w:t>检查人：                         物业负责人：</w:t>
      </w:r>
    </w:p>
    <w:p>
      <w:pPr>
        <w:autoSpaceDE w:val="0"/>
        <w:autoSpaceDN w:val="0"/>
        <w:adjustRightInd w:val="0"/>
        <w:spacing w:before="156" w:beforeLines="50" w:line="320" w:lineRule="exact"/>
        <w:jc w:val="left"/>
        <w:rPr>
          <w:rFonts w:ascii="仿宋_GB2312" w:hAnsi="Calibri" w:eastAsia="仿宋_GB2312"/>
          <w:kern w:val="0"/>
          <w:sz w:val="28"/>
          <w:szCs w:val="20"/>
        </w:rPr>
      </w:pPr>
      <w:r>
        <w:rPr>
          <w:rFonts w:ascii="仿宋_GB2312" w:hAnsi="Calibri" w:eastAsia="仿宋_GB2312"/>
          <w:kern w:val="0"/>
          <w:sz w:val="28"/>
          <w:szCs w:val="20"/>
        </w:rPr>
        <w:br w:type="page"/>
      </w:r>
      <w:r>
        <w:rPr>
          <w:rFonts w:hint="eastAsia" w:ascii="Calibri" w:hAnsi="Calibri" w:eastAsia="仿宋_GB2312"/>
          <w:kern w:val="0"/>
          <w:sz w:val="30"/>
          <w:szCs w:val="30"/>
        </w:rPr>
        <w:t>附件</w:t>
      </w:r>
      <w:r>
        <w:rPr>
          <w:rFonts w:hint="eastAsia" w:ascii="仿宋_GB2312" w:hAnsi="Calibri" w:eastAsia="仿宋_GB2312"/>
          <w:kern w:val="0"/>
          <w:sz w:val="28"/>
          <w:szCs w:val="20"/>
        </w:rPr>
        <w:t>2：</w:t>
      </w:r>
    </w:p>
    <w:p>
      <w:pPr>
        <w:autoSpaceDE w:val="0"/>
        <w:autoSpaceDN w:val="0"/>
        <w:adjustRightInd w:val="0"/>
        <w:spacing w:after="312" w:afterLines="100" w:line="440" w:lineRule="exact"/>
        <w:jc w:val="center"/>
        <w:rPr>
          <w:rFonts w:ascii="仿宋" w:hAnsi="仿宋" w:eastAsia="仿宋"/>
          <w:kern w:val="0"/>
          <w:sz w:val="36"/>
          <w:szCs w:val="36"/>
        </w:rPr>
      </w:pPr>
      <w:r>
        <w:rPr>
          <w:rFonts w:hint="eastAsia" w:ascii="仿宋" w:hAnsi="仿宋" w:eastAsia="仿宋"/>
          <w:kern w:val="0"/>
          <w:sz w:val="36"/>
          <w:szCs w:val="36"/>
        </w:rPr>
        <w:t>河海大学物业监督管理服务测评表</w:t>
      </w:r>
    </w:p>
    <w:p>
      <w:pPr>
        <w:autoSpaceDE w:val="0"/>
        <w:autoSpaceDN w:val="0"/>
        <w:adjustRightInd w:val="0"/>
        <w:spacing w:line="460" w:lineRule="exact"/>
        <w:jc w:val="left"/>
        <w:rPr>
          <w:rFonts w:ascii="仿宋_GB2312" w:hAnsi="Calibri" w:eastAsia="仿宋_GB2312"/>
          <w:kern w:val="0"/>
          <w:sz w:val="28"/>
          <w:szCs w:val="28"/>
        </w:rPr>
      </w:pPr>
      <w:r>
        <w:rPr>
          <w:rFonts w:hint="eastAsia" w:ascii="仿宋_GB2312" w:hAnsi="Calibri" w:eastAsia="仿宋_GB2312"/>
          <w:kern w:val="0"/>
          <w:sz w:val="28"/>
          <w:szCs w:val="28"/>
        </w:rPr>
        <w:t>物业项目名称：</w:t>
      </w:r>
      <w:r>
        <w:rPr>
          <w:rFonts w:hint="eastAsia" w:ascii="仿宋_GB2312" w:eastAsia="仿宋_GB2312"/>
          <w:kern w:val="0"/>
          <w:sz w:val="28"/>
          <w:szCs w:val="28"/>
        </w:rPr>
        <w:t xml:space="preserve">                       </w:t>
      </w:r>
      <w:r>
        <w:rPr>
          <w:rFonts w:hint="eastAsia" w:ascii="仿宋_GB2312" w:hAnsi="Calibri" w:eastAsia="仿宋_GB2312"/>
          <w:kern w:val="0"/>
          <w:sz w:val="28"/>
          <w:szCs w:val="28"/>
        </w:rPr>
        <w:t>日期：</w:t>
      </w:r>
      <w:r>
        <w:rPr>
          <w:rFonts w:hint="eastAsia" w:ascii="仿宋_GB2312" w:eastAsia="仿宋_GB2312"/>
          <w:kern w:val="0"/>
          <w:sz w:val="28"/>
          <w:szCs w:val="28"/>
        </w:rPr>
        <w:t xml:space="preserve">    </w:t>
      </w:r>
      <w:r>
        <w:rPr>
          <w:rFonts w:hint="eastAsia" w:ascii="仿宋_GB2312" w:hAnsi="Calibri" w:eastAsia="仿宋_GB2312"/>
          <w:kern w:val="0"/>
          <w:sz w:val="28"/>
          <w:szCs w:val="28"/>
        </w:rPr>
        <w:t>年   月   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5"/>
        <w:gridCol w:w="5045"/>
        <w:gridCol w:w="1200"/>
        <w:gridCol w:w="1200"/>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715" w:type="dxa"/>
            <w:vMerge w:val="restart"/>
            <w:vAlign w:val="center"/>
          </w:tcPr>
          <w:p>
            <w:pPr>
              <w:autoSpaceDE w:val="0"/>
              <w:autoSpaceDN w:val="0"/>
              <w:adjustRightInd w:val="0"/>
              <w:spacing w:line="36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序号</w:t>
            </w:r>
          </w:p>
        </w:tc>
        <w:tc>
          <w:tcPr>
            <w:tcW w:w="5045" w:type="dxa"/>
            <w:vMerge w:val="restart"/>
            <w:vAlign w:val="center"/>
          </w:tcPr>
          <w:p>
            <w:pPr>
              <w:autoSpaceDE w:val="0"/>
              <w:autoSpaceDN w:val="0"/>
              <w:adjustRightInd w:val="0"/>
              <w:spacing w:line="36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内    容</w:t>
            </w:r>
          </w:p>
        </w:tc>
        <w:tc>
          <w:tcPr>
            <w:tcW w:w="3600" w:type="dxa"/>
            <w:gridSpan w:val="3"/>
            <w:vAlign w:val="center"/>
          </w:tcPr>
          <w:p>
            <w:pPr>
              <w:autoSpaceDE w:val="0"/>
              <w:autoSpaceDN w:val="0"/>
              <w:adjustRightInd w:val="0"/>
              <w:spacing w:line="36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5" w:type="dxa"/>
            <w:vMerge w:val="continue"/>
            <w:vAlign w:val="center"/>
          </w:tcPr>
          <w:p>
            <w:pPr>
              <w:autoSpaceDE w:val="0"/>
              <w:autoSpaceDN w:val="0"/>
              <w:adjustRightInd w:val="0"/>
              <w:spacing w:line="360" w:lineRule="exact"/>
              <w:jc w:val="center"/>
              <w:rPr>
                <w:rFonts w:ascii="仿宋_GB2312" w:hAnsi="Calibri" w:eastAsia="仿宋_GB2312"/>
                <w:b/>
                <w:kern w:val="0"/>
                <w:sz w:val="28"/>
                <w:szCs w:val="20"/>
              </w:rPr>
            </w:pPr>
          </w:p>
        </w:tc>
        <w:tc>
          <w:tcPr>
            <w:tcW w:w="5045" w:type="dxa"/>
            <w:vMerge w:val="continue"/>
            <w:vAlign w:val="center"/>
          </w:tcPr>
          <w:p>
            <w:pPr>
              <w:autoSpaceDE w:val="0"/>
              <w:autoSpaceDN w:val="0"/>
              <w:adjustRightInd w:val="0"/>
              <w:spacing w:line="360" w:lineRule="exact"/>
              <w:jc w:val="left"/>
              <w:rPr>
                <w:rFonts w:ascii="仿宋_GB2312" w:hAnsi="Calibri" w:eastAsia="仿宋_GB2312"/>
                <w:b/>
                <w:kern w:val="0"/>
                <w:sz w:val="28"/>
                <w:szCs w:val="20"/>
              </w:rPr>
            </w:pPr>
          </w:p>
        </w:tc>
        <w:tc>
          <w:tcPr>
            <w:tcW w:w="1200" w:type="dxa"/>
            <w:vAlign w:val="center"/>
          </w:tcPr>
          <w:p>
            <w:pPr>
              <w:autoSpaceDE w:val="0"/>
              <w:autoSpaceDN w:val="0"/>
              <w:adjustRightInd w:val="0"/>
              <w:spacing w:line="36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满 意</w:t>
            </w:r>
          </w:p>
        </w:tc>
        <w:tc>
          <w:tcPr>
            <w:tcW w:w="1200" w:type="dxa"/>
            <w:vAlign w:val="center"/>
          </w:tcPr>
          <w:p>
            <w:pPr>
              <w:autoSpaceDE w:val="0"/>
              <w:autoSpaceDN w:val="0"/>
              <w:adjustRightInd w:val="0"/>
              <w:spacing w:line="32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基本</w:t>
            </w:r>
          </w:p>
          <w:p>
            <w:pPr>
              <w:autoSpaceDE w:val="0"/>
              <w:autoSpaceDN w:val="0"/>
              <w:adjustRightInd w:val="0"/>
              <w:spacing w:line="32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满意</w:t>
            </w:r>
          </w:p>
        </w:tc>
        <w:tc>
          <w:tcPr>
            <w:tcW w:w="1200" w:type="dxa"/>
            <w:vAlign w:val="center"/>
          </w:tcPr>
          <w:p>
            <w:pPr>
              <w:autoSpaceDE w:val="0"/>
              <w:autoSpaceDN w:val="0"/>
              <w:adjustRightInd w:val="0"/>
              <w:spacing w:line="360" w:lineRule="exact"/>
              <w:jc w:val="center"/>
              <w:rPr>
                <w:rFonts w:ascii="仿宋_GB2312" w:hAnsi="Calibri" w:eastAsia="仿宋_GB2312"/>
                <w:b/>
                <w:kern w:val="0"/>
                <w:sz w:val="28"/>
                <w:szCs w:val="20"/>
              </w:rPr>
            </w:pPr>
            <w:r>
              <w:rPr>
                <w:rFonts w:hint="eastAsia" w:ascii="仿宋_GB2312" w:hAnsi="Calibri" w:eastAsia="仿宋_GB2312"/>
                <w:b/>
                <w:kern w:val="0"/>
                <w:sz w:val="28"/>
                <w:szCs w:val="20"/>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1</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您对物业人员统一着装形象评价。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2</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您对物业人员服务言行、态度评价。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3</w:t>
            </w:r>
          </w:p>
        </w:tc>
        <w:tc>
          <w:tcPr>
            <w:tcW w:w="5045" w:type="dxa"/>
            <w:vAlign w:val="center"/>
          </w:tcPr>
          <w:p>
            <w:pPr>
              <w:autoSpaceDE w:val="0"/>
              <w:autoSpaceDN w:val="0"/>
              <w:adjustRightInd w:val="0"/>
              <w:spacing w:line="32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您对物业钥匙管理（是否按时开、关门）评价。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4</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您对物业多媒体设备管理评价。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5</w:t>
            </w:r>
          </w:p>
        </w:tc>
        <w:tc>
          <w:tcPr>
            <w:tcW w:w="5045" w:type="dxa"/>
            <w:vAlign w:val="center"/>
          </w:tcPr>
          <w:p>
            <w:pPr>
              <w:autoSpaceDE w:val="0"/>
              <w:autoSpaceDN w:val="0"/>
              <w:adjustRightInd w:val="0"/>
              <w:spacing w:line="32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您对物业自来水管理（是否有长流水现象）评价。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6</w:t>
            </w:r>
          </w:p>
        </w:tc>
        <w:tc>
          <w:tcPr>
            <w:tcW w:w="5045" w:type="dxa"/>
            <w:vAlign w:val="center"/>
          </w:tcPr>
          <w:p>
            <w:pPr>
              <w:autoSpaceDE w:val="0"/>
              <w:autoSpaceDN w:val="0"/>
              <w:adjustRightInd w:val="0"/>
              <w:spacing w:line="32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您对物业照明设备管理（是否随时开、关灯，照明设备是否完好）评价。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7</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您对物业电梯管理评价。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8</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您对物业中央空调管理评价。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9</w:t>
            </w:r>
          </w:p>
        </w:tc>
        <w:tc>
          <w:tcPr>
            <w:tcW w:w="5045" w:type="dxa"/>
            <w:vAlign w:val="center"/>
          </w:tcPr>
          <w:p>
            <w:pPr>
              <w:autoSpaceDE w:val="0"/>
              <w:autoSpaceDN w:val="0"/>
              <w:adjustRightInd w:val="0"/>
              <w:spacing w:line="32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您对物业公共卫生间、盥洗室等卫生保洁工作评价。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10</w:t>
            </w:r>
          </w:p>
        </w:tc>
        <w:tc>
          <w:tcPr>
            <w:tcW w:w="5045" w:type="dxa"/>
            <w:vAlign w:val="center"/>
          </w:tcPr>
          <w:p>
            <w:pPr>
              <w:autoSpaceDE w:val="0"/>
              <w:autoSpaceDN w:val="0"/>
              <w:adjustRightInd w:val="0"/>
              <w:spacing w:line="32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您对物业其他公共区域卫生保洁工作评价。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11</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您对物业安全管理方面的评价。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12</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您对物业小型维修及时性的评价。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13</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您对物业小型维修质量的评价。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15" w:type="dxa"/>
            <w:vAlign w:val="center"/>
          </w:tcPr>
          <w:p>
            <w:pPr>
              <w:autoSpaceDE w:val="0"/>
              <w:autoSpaceDN w:val="0"/>
              <w:adjustRightInd w:val="0"/>
              <w:spacing w:line="440" w:lineRule="exact"/>
              <w:jc w:val="center"/>
              <w:rPr>
                <w:rFonts w:ascii="仿宋_GB2312" w:hAnsi="Calibri" w:eastAsia="仿宋_GB2312"/>
                <w:kern w:val="0"/>
                <w:sz w:val="28"/>
                <w:szCs w:val="20"/>
              </w:rPr>
            </w:pPr>
            <w:r>
              <w:rPr>
                <w:rFonts w:hint="eastAsia" w:ascii="仿宋_GB2312" w:hAnsi="Calibri" w:eastAsia="仿宋_GB2312"/>
                <w:kern w:val="0"/>
                <w:sz w:val="28"/>
                <w:szCs w:val="20"/>
              </w:rPr>
              <w:t>14</w:t>
            </w:r>
          </w:p>
        </w:tc>
        <w:tc>
          <w:tcPr>
            <w:tcW w:w="5045" w:type="dxa"/>
            <w:vAlign w:val="center"/>
          </w:tcPr>
          <w:p>
            <w:pPr>
              <w:autoSpaceDE w:val="0"/>
              <w:autoSpaceDN w:val="0"/>
              <w:adjustRightInd w:val="0"/>
              <w:spacing w:line="440" w:lineRule="exact"/>
              <w:jc w:val="left"/>
              <w:rPr>
                <w:rFonts w:ascii="仿宋_GB2312" w:hAnsi="Calibri" w:eastAsia="仿宋_GB2312"/>
                <w:kern w:val="0"/>
                <w:sz w:val="28"/>
                <w:szCs w:val="20"/>
              </w:rPr>
            </w:pPr>
            <w:r>
              <w:rPr>
                <w:rFonts w:hint="eastAsia" w:ascii="仿宋_GB2312" w:hAnsi="Calibri" w:eastAsia="仿宋_GB2312"/>
                <w:kern w:val="0"/>
                <w:sz w:val="28"/>
                <w:szCs w:val="20"/>
              </w:rPr>
              <w:t>您对物业工作的总体评价。</w:t>
            </w: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c>
          <w:tcPr>
            <w:tcW w:w="1200" w:type="dxa"/>
            <w:vAlign w:val="center"/>
          </w:tcPr>
          <w:p>
            <w:pPr>
              <w:autoSpaceDE w:val="0"/>
              <w:autoSpaceDN w:val="0"/>
              <w:adjustRightInd w:val="0"/>
              <w:spacing w:line="440" w:lineRule="exact"/>
              <w:jc w:val="left"/>
              <w:rPr>
                <w:rFonts w:ascii="仿宋_GB2312" w:hAnsi="Calibri" w:eastAsia="仿宋_GB2312"/>
                <w:kern w:val="0"/>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8" w:hRule="atLeast"/>
          <w:jc w:val="center"/>
        </w:trPr>
        <w:tc>
          <w:tcPr>
            <w:tcW w:w="9360" w:type="dxa"/>
            <w:gridSpan w:val="5"/>
          </w:tcPr>
          <w:p>
            <w:pPr>
              <w:autoSpaceDE w:val="0"/>
              <w:autoSpaceDN w:val="0"/>
              <w:adjustRightInd w:val="0"/>
              <w:spacing w:line="440" w:lineRule="exact"/>
              <w:ind w:firstLine="280" w:firstLineChars="100"/>
              <w:jc w:val="left"/>
              <w:rPr>
                <w:rFonts w:ascii="仿宋_GB2312" w:hAnsi="Calibri" w:eastAsia="仿宋_GB2312"/>
                <w:kern w:val="0"/>
                <w:sz w:val="28"/>
                <w:szCs w:val="20"/>
              </w:rPr>
            </w:pPr>
            <w:r>
              <w:rPr>
                <w:rFonts w:hint="eastAsia" w:ascii="仿宋_GB2312" w:hAnsi="Calibri" w:eastAsia="仿宋_GB2312"/>
                <w:kern w:val="0"/>
                <w:sz w:val="28"/>
                <w:szCs w:val="20"/>
              </w:rPr>
              <w:t>您对物业工作的其他意见或建议：</w:t>
            </w:r>
          </w:p>
        </w:tc>
      </w:tr>
    </w:tbl>
    <w:p>
      <w:pPr>
        <w:autoSpaceDE w:val="0"/>
        <w:autoSpaceDN w:val="0"/>
        <w:adjustRightInd w:val="0"/>
        <w:spacing w:line="280" w:lineRule="exact"/>
        <w:jc w:val="left"/>
        <w:rPr>
          <w:rFonts w:ascii="黑体" w:hAnsi="Calibri" w:eastAsia="黑体"/>
          <w:kern w:val="0"/>
          <w:sz w:val="36"/>
          <w:szCs w:val="36"/>
        </w:rPr>
      </w:pPr>
      <w:r>
        <w:rPr>
          <w:rFonts w:ascii="仿宋_GB2312" w:hAnsi="Calibri" w:eastAsia="仿宋_GB2312"/>
          <w:kern w:val="0"/>
          <w:sz w:val="28"/>
          <w:szCs w:val="20"/>
        </w:rPr>
        <w:br w:type="page"/>
      </w:r>
      <w:r>
        <w:rPr>
          <w:rFonts w:hint="eastAsia" w:ascii="Calibri" w:hAnsi="Calibri" w:eastAsia="仿宋_GB2312"/>
          <w:kern w:val="0"/>
          <w:sz w:val="30"/>
          <w:szCs w:val="30"/>
        </w:rPr>
        <w:t>附件</w:t>
      </w:r>
      <w:r>
        <w:rPr>
          <w:rFonts w:hint="eastAsia" w:ascii="仿宋_GB2312" w:hAnsi="Calibri" w:eastAsia="仿宋_GB2312"/>
          <w:kern w:val="0"/>
          <w:sz w:val="28"/>
          <w:szCs w:val="28"/>
        </w:rPr>
        <w:t>3：</w:t>
      </w:r>
    </w:p>
    <w:p>
      <w:pPr>
        <w:autoSpaceDE w:val="0"/>
        <w:autoSpaceDN w:val="0"/>
        <w:adjustRightInd w:val="0"/>
        <w:spacing w:line="500" w:lineRule="exact"/>
        <w:ind w:firstLine="320" w:firstLineChars="100"/>
        <w:jc w:val="left"/>
        <w:rPr>
          <w:rFonts w:ascii="仿宋" w:hAnsi="仿宋" w:eastAsia="仿宋"/>
          <w:b/>
          <w:bCs/>
          <w:kern w:val="0"/>
          <w:sz w:val="32"/>
          <w:szCs w:val="32"/>
        </w:rPr>
      </w:pPr>
      <w:r>
        <w:rPr>
          <w:rFonts w:hint="eastAsia" w:ascii="仿宋" w:hAnsi="仿宋" w:eastAsia="仿宋"/>
          <w:kern w:val="0"/>
          <w:sz w:val="32"/>
          <w:szCs w:val="32"/>
        </w:rPr>
        <w:t>河海大学物业监督管理专项检查测评表（公寓管理用）</w:t>
      </w:r>
    </w:p>
    <w:p>
      <w:pPr>
        <w:autoSpaceDE w:val="0"/>
        <w:autoSpaceDN w:val="0"/>
        <w:adjustRightInd w:val="0"/>
        <w:spacing w:line="480" w:lineRule="exact"/>
        <w:ind w:firstLine="240" w:firstLineChars="100"/>
        <w:jc w:val="left"/>
        <w:rPr>
          <w:rFonts w:ascii="仿宋_GB2312" w:hAnsi="Calibri" w:eastAsia="仿宋_GB2312"/>
          <w:kern w:val="0"/>
          <w:sz w:val="24"/>
        </w:rPr>
      </w:pPr>
      <w:r>
        <w:rPr>
          <w:rFonts w:hint="eastAsia" w:ascii="仿宋_GB2312" w:hAnsi="Calibri" w:eastAsia="仿宋_GB2312"/>
          <w:kern w:val="0"/>
          <w:sz w:val="24"/>
        </w:rPr>
        <w:t>物业项目名称：                                日期：</w:t>
      </w:r>
      <w:r>
        <w:rPr>
          <w:rFonts w:hint="eastAsia" w:ascii="仿宋_GB2312" w:eastAsia="仿宋_GB2312"/>
          <w:kern w:val="0"/>
          <w:sz w:val="24"/>
        </w:rPr>
        <w:t xml:space="preserve">    </w:t>
      </w:r>
      <w:r>
        <w:rPr>
          <w:rFonts w:hint="eastAsia" w:ascii="仿宋_GB2312" w:hAnsi="Calibri" w:eastAsia="仿宋_GB2312"/>
          <w:kern w:val="0"/>
          <w:sz w:val="24"/>
        </w:rPr>
        <w:t>年</w:t>
      </w:r>
      <w:r>
        <w:rPr>
          <w:rFonts w:hint="eastAsia" w:ascii="仿宋_GB2312" w:eastAsia="仿宋_GB2312"/>
          <w:kern w:val="0"/>
          <w:sz w:val="24"/>
        </w:rPr>
        <w:t xml:space="preserve">  </w:t>
      </w:r>
      <w:r>
        <w:rPr>
          <w:rFonts w:hint="eastAsia" w:ascii="仿宋_GB2312" w:hAnsi="Calibri" w:eastAsia="仿宋_GB2312"/>
          <w:kern w:val="0"/>
          <w:sz w:val="24"/>
        </w:rPr>
        <w:t>月</w:t>
      </w:r>
      <w:r>
        <w:rPr>
          <w:rFonts w:hint="eastAsia" w:ascii="仿宋_GB2312" w:eastAsia="仿宋_GB2312"/>
          <w:kern w:val="0"/>
          <w:sz w:val="24"/>
        </w:rPr>
        <w:t xml:space="preserve">  </w:t>
      </w:r>
      <w:r>
        <w:rPr>
          <w:rFonts w:hint="eastAsia" w:ascii="仿宋_GB2312" w:hAnsi="Calibri" w:eastAsia="仿宋_GB2312"/>
          <w:kern w:val="0"/>
          <w:sz w:val="24"/>
        </w:rPr>
        <w:t>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812"/>
        <w:gridCol w:w="705"/>
        <w:gridCol w:w="70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96"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序号</w:t>
            </w:r>
          </w:p>
        </w:tc>
        <w:tc>
          <w:tcPr>
            <w:tcW w:w="6812"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项目内容</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分值</w:t>
            </w:r>
          </w:p>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标准</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得分</w:t>
            </w:r>
          </w:p>
        </w:tc>
        <w:tc>
          <w:tcPr>
            <w:tcW w:w="570"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一、制度建设与基本服务</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30</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建立相应规章制度并公示。</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建立各类物业管理台帐。</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人员岗位落实到位并公示。</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员工统一着装、挂牌上岗。</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5</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服务语言、行为礼貌、规范，无投诉。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各类值班人员24小时在岗、无脱岗现象。</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7</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管理好各类房门钥匙，按要求按时开、关各类房门。</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8</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建立并及时更新入住人员信息，含照片、姓名、性别、出生日期、专业年级、联系方式等。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9</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做好各类人员、大件和贵重物品进出登记。</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二、卫生保洁</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25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10</w:t>
            </w:r>
          </w:p>
        </w:tc>
        <w:tc>
          <w:tcPr>
            <w:tcW w:w="6812" w:type="dxa"/>
            <w:vAlign w:val="center"/>
          </w:tcPr>
          <w:p>
            <w:pPr>
              <w:autoSpaceDE w:val="0"/>
              <w:autoSpaceDN w:val="0"/>
              <w:adjustRightInd w:val="0"/>
              <w:spacing w:line="260" w:lineRule="exact"/>
              <w:jc w:val="left"/>
              <w:rPr>
                <w:rFonts w:ascii="仿宋_GB2312" w:hAnsi="Calibri" w:eastAsia="仿宋_GB2312"/>
                <w:kern w:val="0"/>
                <w:sz w:val="24"/>
              </w:rPr>
            </w:pPr>
            <w:r>
              <w:rPr>
                <w:rFonts w:hint="eastAsia" w:ascii="仿宋_GB2312" w:hAnsi="Calibri" w:eastAsia="仿宋_GB2312"/>
                <w:kern w:val="0"/>
                <w:sz w:val="24"/>
              </w:rPr>
              <w:t>楼梯、走道、活动室、道路、人行道、绿化带、卫生包干区等公共部位干净整洁，每天保洁2-3次、记录完好。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11</w:t>
            </w:r>
          </w:p>
        </w:tc>
        <w:tc>
          <w:tcPr>
            <w:tcW w:w="6812" w:type="dxa"/>
            <w:vAlign w:val="center"/>
          </w:tcPr>
          <w:p>
            <w:pPr>
              <w:autoSpaceDE w:val="0"/>
              <w:autoSpaceDN w:val="0"/>
              <w:adjustRightInd w:val="0"/>
              <w:spacing w:line="260" w:lineRule="exact"/>
              <w:jc w:val="left"/>
              <w:rPr>
                <w:rFonts w:ascii="仿宋_GB2312" w:hAnsi="Calibri" w:eastAsia="仿宋_GB2312"/>
                <w:kern w:val="0"/>
                <w:sz w:val="24"/>
              </w:rPr>
            </w:pPr>
            <w:r>
              <w:rPr>
                <w:rFonts w:hint="eastAsia" w:ascii="仿宋_GB2312" w:hAnsi="Calibri" w:eastAsia="仿宋_GB2312"/>
                <w:kern w:val="0"/>
                <w:sz w:val="24"/>
              </w:rPr>
              <w:t>公共卫生间、盥洗室、开水房、洗衣房等干净整洁、无异味、无积水，每天保洁2-3次、记录完好。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12</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墙面、门、窗玻璃干净整洁，每周保洁1-2次、记录完好。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13</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垃圾桶、果壳箱整洁卫生，每天清理2-3次、记录完好。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14</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屋顶干净卫生，无杂草、杂物，每周巡查1-2次、记录完好。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15</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下水道、化粪池无堵塞和溢出，每周巡查1-2次、记录完好。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16</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每半年开展一次除“四害”工作，记录完好。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三、设备使用管理与巡查</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10</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17</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无长流水现象，自来水设施每天巡查3-4次、记录完好。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18</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无常明灯现象，照明设备完好，每天巡查3-4次、记录完好。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19</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配电房（箱）、水泵房内无杂物，每天巡查1-2次、记录完好。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20</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会操作电梯，每天巡查1-2次、记录完好。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四、安全管理</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20</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21</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会使用灭火器、消防栓、应急照明、报警器、消防喷头等，每天巡查1-2次、记录完好。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22</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做好学生晚归和夜间查房、记录完好。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23</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做好违章电器检查处理、有记录、无投诉。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建立突发事件应急处理预案。</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25</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消防值班员和电力维修人员持证上岗。</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五、维修管理</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26</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公共部位各类小型维修及时到位、无投诉。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27</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各种小型报修24小时之内处理并答复，有记录、无投诉。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28</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大型、专项维修及时发现、统计上报并跟踪。</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六、多种服务</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29</w:t>
            </w:r>
          </w:p>
        </w:tc>
        <w:tc>
          <w:tcPr>
            <w:tcW w:w="6812" w:type="dxa"/>
            <w:vAlign w:val="center"/>
          </w:tcPr>
          <w:p>
            <w:pPr>
              <w:autoSpaceDE w:val="0"/>
              <w:autoSpaceDN w:val="0"/>
              <w:adjustRightInd w:val="0"/>
              <w:spacing w:line="260" w:lineRule="exact"/>
              <w:jc w:val="left"/>
              <w:rPr>
                <w:rFonts w:ascii="仿宋_GB2312" w:hAnsi="Calibri" w:eastAsia="仿宋_GB2312"/>
                <w:kern w:val="0"/>
                <w:sz w:val="24"/>
              </w:rPr>
            </w:pPr>
            <w:r>
              <w:rPr>
                <w:rFonts w:hint="eastAsia" w:ascii="仿宋_GB2312" w:hAnsi="Calibri" w:eastAsia="仿宋_GB2312"/>
                <w:kern w:val="0"/>
                <w:sz w:val="24"/>
              </w:rPr>
              <w:t>开展天</w:t>
            </w:r>
            <w:bookmarkStart w:id="0" w:name="OLE_LINK1"/>
            <w:r>
              <w:rPr>
                <w:rFonts w:hint="eastAsia" w:ascii="仿宋_GB2312" w:hAnsi="Calibri" w:eastAsia="仿宋_GB2312"/>
                <w:kern w:val="0"/>
                <w:sz w:val="24"/>
              </w:rPr>
              <w:t>气</w:t>
            </w:r>
            <w:bookmarkEnd w:id="0"/>
            <w:r>
              <w:rPr>
                <w:rFonts w:hint="eastAsia" w:ascii="仿宋_GB2312" w:hAnsi="Calibri" w:eastAsia="仿宋_GB2312"/>
                <w:kern w:val="0"/>
                <w:sz w:val="24"/>
              </w:rPr>
              <w:t>预报、缝衣服、热饭、打气、收被子、生日提醒祝福、照顾生病同学、帮助困难学生等便利服务，每有一项加1 分。</w:t>
            </w:r>
          </w:p>
        </w:tc>
        <w:tc>
          <w:tcPr>
            <w:tcW w:w="705" w:type="dxa"/>
            <w:vAlign w:val="center"/>
          </w:tcPr>
          <w:p>
            <w:pPr>
              <w:autoSpaceDE w:val="0"/>
              <w:autoSpaceDN w:val="0"/>
              <w:adjustRightInd w:val="0"/>
              <w:spacing w:line="260" w:lineRule="exact"/>
              <w:jc w:val="center"/>
              <w:rPr>
                <w:rFonts w:ascii="仿宋_GB2312" w:hAnsi="Calibri" w:eastAsia="仿宋_GB2312"/>
                <w:kern w:val="0"/>
                <w:sz w:val="24"/>
              </w:rPr>
            </w:pPr>
            <w:r>
              <w:rPr>
                <w:rFonts w:hint="eastAsia" w:ascii="仿宋_GB2312" w:hAnsi="Calibri" w:eastAsia="仿宋_GB2312"/>
                <w:kern w:val="0"/>
                <w:sz w:val="24"/>
              </w:rPr>
              <w:t>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合   计</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105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bl>
    <w:p>
      <w:pPr>
        <w:autoSpaceDE w:val="0"/>
        <w:autoSpaceDN w:val="0"/>
        <w:adjustRightInd w:val="0"/>
        <w:spacing w:line="280" w:lineRule="exact"/>
        <w:ind w:firstLine="240" w:firstLineChars="100"/>
        <w:jc w:val="left"/>
        <w:rPr>
          <w:rFonts w:ascii="仿宋_GB2312" w:hAnsi="Calibri" w:eastAsia="仿宋_GB2312"/>
          <w:kern w:val="0"/>
          <w:sz w:val="24"/>
        </w:rPr>
      </w:pPr>
      <w:r>
        <w:rPr>
          <w:rFonts w:hint="eastAsia" w:ascii="仿宋_GB2312" w:hAnsi="Calibri" w:eastAsia="仿宋_GB2312"/>
          <w:kern w:val="0"/>
          <w:sz w:val="24"/>
        </w:rPr>
        <w:t>检查人：</w:t>
      </w:r>
    </w:p>
    <w:p>
      <w:pPr>
        <w:widowControl/>
        <w:jc w:val="left"/>
        <w:rPr>
          <w:rFonts w:ascii="仿宋_GB2312" w:hAnsi="Calibri" w:eastAsia="仿宋_GB2312"/>
          <w:kern w:val="0"/>
          <w:sz w:val="28"/>
          <w:szCs w:val="28"/>
        </w:rPr>
      </w:pPr>
      <w:r>
        <w:rPr>
          <w:rFonts w:ascii="Calibri" w:hAnsi="Calibri" w:eastAsia="仿宋_GB2312"/>
          <w:kern w:val="0"/>
          <w:sz w:val="30"/>
          <w:szCs w:val="30"/>
        </w:rPr>
        <w:br w:type="page"/>
      </w:r>
      <w:r>
        <w:rPr>
          <w:rFonts w:hint="eastAsia" w:ascii="Calibri" w:hAnsi="Calibri" w:eastAsia="仿宋_GB2312"/>
          <w:kern w:val="0"/>
          <w:sz w:val="30"/>
          <w:szCs w:val="30"/>
        </w:rPr>
        <w:t>附件</w:t>
      </w:r>
      <w:r>
        <w:rPr>
          <w:rFonts w:hint="eastAsia" w:ascii="仿宋_GB2312" w:hAnsi="Calibri" w:eastAsia="仿宋_GB2312"/>
          <w:kern w:val="0"/>
          <w:sz w:val="28"/>
          <w:szCs w:val="28"/>
        </w:rPr>
        <w:t>4：</w:t>
      </w:r>
    </w:p>
    <w:p>
      <w:pPr>
        <w:autoSpaceDE w:val="0"/>
        <w:autoSpaceDN w:val="0"/>
        <w:adjustRightInd w:val="0"/>
        <w:spacing w:line="500" w:lineRule="exact"/>
        <w:jc w:val="center"/>
        <w:rPr>
          <w:rFonts w:ascii="仿宋" w:hAnsi="仿宋" w:eastAsia="仿宋"/>
          <w:kern w:val="0"/>
          <w:sz w:val="36"/>
          <w:szCs w:val="36"/>
        </w:rPr>
      </w:pPr>
      <w:r>
        <w:rPr>
          <w:rFonts w:hint="eastAsia" w:ascii="仿宋" w:hAnsi="仿宋" w:eastAsia="仿宋"/>
          <w:kern w:val="0"/>
          <w:sz w:val="36"/>
          <w:szCs w:val="36"/>
        </w:rPr>
        <w:t>河海大学物业监督管理专项检查测评表</w:t>
      </w:r>
    </w:p>
    <w:p>
      <w:pPr>
        <w:autoSpaceDE w:val="0"/>
        <w:autoSpaceDN w:val="0"/>
        <w:adjustRightInd w:val="0"/>
        <w:spacing w:line="500" w:lineRule="exact"/>
        <w:jc w:val="center"/>
        <w:rPr>
          <w:rFonts w:ascii="仿宋" w:hAnsi="仿宋" w:eastAsia="仿宋"/>
          <w:kern w:val="0"/>
          <w:sz w:val="36"/>
          <w:szCs w:val="36"/>
        </w:rPr>
      </w:pPr>
      <w:r>
        <w:rPr>
          <w:rFonts w:hint="eastAsia" w:ascii="仿宋" w:hAnsi="仿宋" w:eastAsia="仿宋"/>
          <w:kern w:val="0"/>
          <w:sz w:val="36"/>
          <w:szCs w:val="36"/>
        </w:rPr>
        <w:t>（教室、办公楼等管理用）</w:t>
      </w:r>
    </w:p>
    <w:p>
      <w:pPr>
        <w:autoSpaceDE w:val="0"/>
        <w:autoSpaceDN w:val="0"/>
        <w:adjustRightInd w:val="0"/>
        <w:spacing w:line="280" w:lineRule="exact"/>
        <w:ind w:firstLine="240" w:firstLineChars="100"/>
        <w:jc w:val="left"/>
        <w:rPr>
          <w:rFonts w:ascii="仿宋_GB2312" w:hAnsi="Calibri" w:eastAsia="仿宋_GB2312"/>
          <w:kern w:val="0"/>
          <w:sz w:val="24"/>
        </w:rPr>
      </w:pPr>
      <w:r>
        <w:rPr>
          <w:rFonts w:hint="eastAsia" w:ascii="仿宋_GB2312" w:hAnsi="Calibri" w:eastAsia="仿宋_GB2312"/>
          <w:kern w:val="0"/>
          <w:sz w:val="24"/>
        </w:rPr>
        <w:t>物业项目名称：</w:t>
      </w:r>
      <w:r>
        <w:rPr>
          <w:rFonts w:hint="eastAsia" w:ascii="仿宋_GB2312" w:eastAsia="仿宋_GB2312"/>
          <w:kern w:val="0"/>
          <w:sz w:val="24"/>
        </w:rPr>
        <w:t xml:space="preserve">                            </w:t>
      </w:r>
      <w:r>
        <w:rPr>
          <w:rFonts w:hint="eastAsia" w:ascii="仿宋_GB2312" w:hAnsi="Calibri" w:eastAsia="仿宋_GB2312"/>
          <w:kern w:val="0"/>
          <w:sz w:val="24"/>
        </w:rPr>
        <w:t>日期：</w:t>
      </w:r>
      <w:r>
        <w:rPr>
          <w:rFonts w:hint="eastAsia" w:ascii="仿宋_GB2312" w:eastAsia="仿宋_GB2312"/>
          <w:kern w:val="0"/>
          <w:sz w:val="24"/>
        </w:rPr>
        <w:t xml:space="preserve">    </w:t>
      </w:r>
      <w:r>
        <w:rPr>
          <w:rFonts w:hint="eastAsia" w:ascii="仿宋_GB2312" w:hAnsi="Calibri" w:eastAsia="仿宋_GB2312"/>
          <w:kern w:val="0"/>
          <w:sz w:val="24"/>
        </w:rPr>
        <w:t>年</w:t>
      </w:r>
      <w:r>
        <w:rPr>
          <w:rFonts w:hint="eastAsia" w:ascii="仿宋_GB2312" w:eastAsia="仿宋_GB2312"/>
          <w:kern w:val="0"/>
          <w:sz w:val="24"/>
        </w:rPr>
        <w:t xml:space="preserve">  </w:t>
      </w:r>
      <w:r>
        <w:rPr>
          <w:rFonts w:hint="eastAsia" w:ascii="仿宋_GB2312" w:hAnsi="Calibri" w:eastAsia="仿宋_GB2312"/>
          <w:kern w:val="0"/>
          <w:sz w:val="24"/>
        </w:rPr>
        <w:t>月</w:t>
      </w:r>
      <w:r>
        <w:rPr>
          <w:rFonts w:hint="eastAsia" w:ascii="仿宋_GB2312" w:eastAsia="仿宋_GB2312"/>
          <w:kern w:val="0"/>
          <w:sz w:val="24"/>
        </w:rPr>
        <w:t xml:space="preserve">  </w:t>
      </w:r>
      <w:r>
        <w:rPr>
          <w:rFonts w:hint="eastAsia" w:ascii="仿宋_GB2312" w:hAnsi="Calibri" w:eastAsia="仿宋_GB2312"/>
          <w:kern w:val="0"/>
          <w:sz w:val="24"/>
        </w:rPr>
        <w:t>日</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6812"/>
        <w:gridCol w:w="705"/>
        <w:gridCol w:w="705"/>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96"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序号</w:t>
            </w:r>
          </w:p>
        </w:tc>
        <w:tc>
          <w:tcPr>
            <w:tcW w:w="6812"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项目内容</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分值</w:t>
            </w:r>
          </w:p>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标准</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得分</w:t>
            </w:r>
          </w:p>
        </w:tc>
        <w:tc>
          <w:tcPr>
            <w:tcW w:w="570"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一、制度建设与基本服务</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30</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建立相应规章制度并公示。</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建立各类物业管理台帐。</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人员岗位落实到位并公示。</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员工统一着装、挂牌上岗。</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5</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服务语言、行为礼貌、规范，无投诉。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各类值班人员24小时在岗、无脱岗现象。</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7</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管理好各类房门钥匙，按要求按时开、关各类房门。</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distribute"/>
              <w:rPr>
                <w:rFonts w:ascii="仿宋_GB2312" w:hAnsi="Calibri" w:eastAsia="仿宋_GB2312"/>
                <w:kern w:val="0"/>
                <w:sz w:val="24"/>
              </w:rPr>
            </w:pPr>
            <w:r>
              <w:rPr>
                <w:rFonts w:hint="eastAsia" w:ascii="仿宋_GB2312" w:hAnsi="Calibri" w:eastAsia="仿宋_GB2312"/>
                <w:kern w:val="0"/>
                <w:sz w:val="24"/>
              </w:rPr>
              <w:t>8</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做好各类人员、大件和贵重物品进出登记。</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二、卫生保洁</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25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9</w:t>
            </w:r>
          </w:p>
        </w:tc>
        <w:tc>
          <w:tcPr>
            <w:tcW w:w="6812" w:type="dxa"/>
            <w:vAlign w:val="center"/>
          </w:tcPr>
          <w:p>
            <w:pPr>
              <w:autoSpaceDE w:val="0"/>
              <w:autoSpaceDN w:val="0"/>
              <w:adjustRightInd w:val="0"/>
              <w:spacing w:line="260" w:lineRule="exact"/>
              <w:jc w:val="left"/>
              <w:rPr>
                <w:rFonts w:ascii="仿宋_GB2312" w:hAnsi="Calibri" w:eastAsia="仿宋_GB2312"/>
                <w:kern w:val="0"/>
                <w:sz w:val="24"/>
              </w:rPr>
            </w:pPr>
            <w:r>
              <w:rPr>
                <w:rFonts w:hint="eastAsia" w:ascii="仿宋_GB2312" w:hAnsi="Calibri" w:eastAsia="仿宋_GB2312"/>
                <w:kern w:val="0"/>
                <w:sz w:val="24"/>
              </w:rPr>
              <w:t>楼梯、走道、活动室、道路、人行道、绿化带、卫生包干区等公共部位干净整洁，每天保洁2-3次、记录完好。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10</w:t>
            </w:r>
          </w:p>
        </w:tc>
        <w:tc>
          <w:tcPr>
            <w:tcW w:w="6812" w:type="dxa"/>
            <w:vAlign w:val="center"/>
          </w:tcPr>
          <w:p>
            <w:pPr>
              <w:autoSpaceDE w:val="0"/>
              <w:autoSpaceDN w:val="0"/>
              <w:adjustRightInd w:val="0"/>
              <w:spacing w:line="260" w:lineRule="exact"/>
              <w:jc w:val="left"/>
              <w:rPr>
                <w:rFonts w:ascii="仿宋_GB2312" w:hAnsi="Calibri" w:eastAsia="仿宋_GB2312"/>
                <w:kern w:val="0"/>
                <w:sz w:val="24"/>
              </w:rPr>
            </w:pPr>
            <w:r>
              <w:rPr>
                <w:rFonts w:hint="eastAsia" w:ascii="仿宋_GB2312" w:hAnsi="Calibri" w:eastAsia="仿宋_GB2312"/>
                <w:kern w:val="0"/>
                <w:sz w:val="24"/>
              </w:rPr>
              <w:t>公共卫生间、盥洗室干净整洁、无异味、无积水，每天保洁2-3次、记录完好。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11</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墙面、门、窗玻璃干净整洁，每周保洁1-2次、记录完好。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12</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垃圾桶、果壳箱整洁卫生，每天清理2-3次、记录完好。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13</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屋顶干净卫生，无杂草、杂物，每周巡查1-2次、记录完好。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14</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下水道、化粪池无堵塞和溢出，每周巡查1-2次、记录完好。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15</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每半年开展一次除“四害”工作，记录完好。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三、设备使用管理与巡查</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18</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16</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无长流水现象，自来水设施每天巡查3-4次、记录完好。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17</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无常明灯现象，照明设备完好，每天巡查3-4次、记录完好。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18</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配电房（箱）、水泵房内无杂物，每天巡查1-2次、记录完好。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19</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按时正确操作多媒体设备，每天巡查1-2次、记录完好。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20</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会操作灯光、话筒、音箱、显示屏，每天巡查1-2次、记录完好。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21</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会操作电梯，每天巡查1-2次、记录完好。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四、安全管理</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22</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会使用灭火器、消防栓、应急照明、报警器、消防喷头等，每天巡查1-2次、记录完好。</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23</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建立突发事件应急处理预案。</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4</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24</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消防值班员和电力维修人员持证上岗。</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五、维修管理</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25</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公共部位各类小型维修及时到位、无投诉。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26</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各种小型报修24小时之内处理并答复，有记录、无投诉。</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6</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27</w:t>
            </w:r>
          </w:p>
        </w:tc>
        <w:tc>
          <w:tcPr>
            <w:tcW w:w="6812" w:type="dxa"/>
            <w:vAlign w:val="center"/>
          </w:tcPr>
          <w:p>
            <w:pPr>
              <w:autoSpaceDE w:val="0"/>
              <w:autoSpaceDN w:val="0"/>
              <w:adjustRightInd w:val="0"/>
              <w:spacing w:line="280" w:lineRule="exact"/>
              <w:jc w:val="left"/>
              <w:rPr>
                <w:rFonts w:ascii="仿宋_GB2312" w:hAnsi="Calibri" w:eastAsia="仿宋_GB2312"/>
                <w:kern w:val="0"/>
                <w:sz w:val="24"/>
              </w:rPr>
            </w:pPr>
            <w:r>
              <w:rPr>
                <w:rFonts w:hint="eastAsia" w:ascii="仿宋_GB2312" w:hAnsi="Calibri" w:eastAsia="仿宋_GB2312"/>
                <w:kern w:val="0"/>
                <w:sz w:val="24"/>
              </w:rPr>
              <w:t>大型、专项维修及时发现、统计上报和跟踪。</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3</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六、多种服务</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6" w:type="dxa"/>
            <w:vAlign w:val="center"/>
          </w:tcPr>
          <w:p>
            <w:pPr>
              <w:autoSpaceDE w:val="0"/>
              <w:autoSpaceDN w:val="0"/>
              <w:adjustRightInd w:val="0"/>
              <w:spacing w:line="280" w:lineRule="exact"/>
              <w:jc w:val="center"/>
              <w:rPr>
                <w:rFonts w:ascii="仿宋_GB2312" w:hAnsi="Calibri" w:eastAsia="仿宋_GB2312"/>
                <w:kern w:val="0"/>
                <w:sz w:val="24"/>
              </w:rPr>
            </w:pPr>
            <w:r>
              <w:rPr>
                <w:rFonts w:hint="eastAsia" w:ascii="仿宋_GB2312" w:hAnsi="Calibri" w:eastAsia="仿宋_GB2312"/>
                <w:kern w:val="0"/>
                <w:sz w:val="24"/>
              </w:rPr>
              <w:t>28</w:t>
            </w:r>
          </w:p>
        </w:tc>
        <w:tc>
          <w:tcPr>
            <w:tcW w:w="6812" w:type="dxa"/>
            <w:vAlign w:val="center"/>
          </w:tcPr>
          <w:p>
            <w:pPr>
              <w:autoSpaceDE w:val="0"/>
              <w:autoSpaceDN w:val="0"/>
              <w:adjustRightInd w:val="0"/>
              <w:spacing w:line="260" w:lineRule="exact"/>
              <w:jc w:val="left"/>
              <w:rPr>
                <w:rFonts w:ascii="仿宋_GB2312" w:hAnsi="Calibri" w:eastAsia="仿宋_GB2312"/>
                <w:kern w:val="0"/>
                <w:sz w:val="24"/>
              </w:rPr>
            </w:pPr>
            <w:r>
              <w:rPr>
                <w:rFonts w:hint="eastAsia" w:ascii="仿宋_GB2312" w:hAnsi="Calibri" w:eastAsia="仿宋_GB2312"/>
                <w:kern w:val="0"/>
                <w:sz w:val="24"/>
              </w:rPr>
              <w:t>开展天气预报、提供便民伞、打气、安全提</w:t>
            </w:r>
            <w:r>
              <w:rPr>
                <w:rFonts w:hint="eastAsia" w:ascii="宋体" w:hAnsi="宋体" w:cs="宋体"/>
                <w:kern w:val="0"/>
                <w:sz w:val="24"/>
              </w:rPr>
              <w:t>示</w:t>
            </w:r>
            <w:r>
              <w:rPr>
                <w:rFonts w:hint="eastAsia" w:ascii="仿宋_GB2312" w:hAnsi="Calibri" w:eastAsia="仿宋_GB2312"/>
                <w:kern w:val="0"/>
                <w:sz w:val="24"/>
              </w:rPr>
              <w:t>、信件领取等便利服务，每有一项加1 分。</w:t>
            </w:r>
          </w:p>
        </w:tc>
        <w:tc>
          <w:tcPr>
            <w:tcW w:w="705" w:type="dxa"/>
            <w:vAlign w:val="center"/>
          </w:tcPr>
          <w:p>
            <w:pPr>
              <w:autoSpaceDE w:val="0"/>
              <w:autoSpaceDN w:val="0"/>
              <w:adjustRightInd w:val="0"/>
              <w:spacing w:line="260" w:lineRule="exact"/>
              <w:jc w:val="center"/>
              <w:rPr>
                <w:rFonts w:ascii="仿宋_GB2312" w:hAnsi="Calibri" w:eastAsia="仿宋_GB2312"/>
                <w:kern w:val="0"/>
                <w:sz w:val="24"/>
              </w:rPr>
            </w:pPr>
            <w:r>
              <w:rPr>
                <w:rFonts w:hint="eastAsia" w:ascii="仿宋_GB2312" w:hAnsi="Calibri" w:eastAsia="仿宋_GB2312"/>
                <w:kern w:val="0"/>
                <w:sz w:val="24"/>
              </w:rPr>
              <w:t>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8" w:type="dxa"/>
            <w:gridSpan w:val="2"/>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合   计</w:t>
            </w:r>
          </w:p>
        </w:tc>
        <w:tc>
          <w:tcPr>
            <w:tcW w:w="705" w:type="dxa"/>
            <w:vAlign w:val="center"/>
          </w:tcPr>
          <w:p>
            <w:pPr>
              <w:autoSpaceDE w:val="0"/>
              <w:autoSpaceDN w:val="0"/>
              <w:adjustRightInd w:val="0"/>
              <w:spacing w:line="280" w:lineRule="exact"/>
              <w:jc w:val="center"/>
              <w:rPr>
                <w:rFonts w:ascii="仿宋_GB2312" w:hAnsi="Calibri" w:eastAsia="仿宋_GB2312"/>
                <w:b/>
                <w:kern w:val="0"/>
                <w:sz w:val="24"/>
              </w:rPr>
            </w:pPr>
            <w:r>
              <w:rPr>
                <w:rFonts w:hint="eastAsia" w:ascii="仿宋_GB2312" w:hAnsi="Calibri" w:eastAsia="仿宋_GB2312"/>
                <w:b/>
                <w:kern w:val="0"/>
                <w:sz w:val="24"/>
              </w:rPr>
              <w:t>105</w:t>
            </w:r>
          </w:p>
        </w:tc>
        <w:tc>
          <w:tcPr>
            <w:tcW w:w="705" w:type="dxa"/>
            <w:vAlign w:val="center"/>
          </w:tcPr>
          <w:p>
            <w:pPr>
              <w:autoSpaceDE w:val="0"/>
              <w:autoSpaceDN w:val="0"/>
              <w:adjustRightInd w:val="0"/>
              <w:spacing w:line="280" w:lineRule="exact"/>
              <w:jc w:val="center"/>
              <w:rPr>
                <w:rFonts w:ascii="仿宋_GB2312" w:hAnsi="Calibri" w:eastAsia="仿宋_GB2312"/>
                <w:kern w:val="0"/>
                <w:sz w:val="24"/>
              </w:rPr>
            </w:pPr>
          </w:p>
        </w:tc>
        <w:tc>
          <w:tcPr>
            <w:tcW w:w="570" w:type="dxa"/>
            <w:vAlign w:val="center"/>
          </w:tcPr>
          <w:p>
            <w:pPr>
              <w:autoSpaceDE w:val="0"/>
              <w:autoSpaceDN w:val="0"/>
              <w:adjustRightInd w:val="0"/>
              <w:spacing w:line="280" w:lineRule="exact"/>
              <w:jc w:val="center"/>
              <w:rPr>
                <w:rFonts w:ascii="仿宋_GB2312" w:hAnsi="Calibri" w:eastAsia="仿宋_GB2312"/>
                <w:kern w:val="0"/>
                <w:sz w:val="24"/>
              </w:rPr>
            </w:pPr>
          </w:p>
        </w:tc>
      </w:tr>
    </w:tbl>
    <w:p>
      <w:pPr>
        <w:autoSpaceDE w:val="0"/>
        <w:autoSpaceDN w:val="0"/>
        <w:adjustRightInd w:val="0"/>
        <w:jc w:val="left"/>
        <w:rPr>
          <w:rFonts w:ascii="仿宋" w:hAnsi="仿宋" w:eastAsia="仿宋"/>
          <w:kern w:val="0"/>
          <w:sz w:val="36"/>
          <w:szCs w:val="36"/>
        </w:rPr>
      </w:pPr>
      <w:r>
        <w:rPr>
          <w:rFonts w:hint="eastAsia" w:ascii="仿宋_GB2312" w:hAnsi="Calibri" w:eastAsia="仿宋_GB2312"/>
          <w:kern w:val="0"/>
          <w:sz w:val="24"/>
        </w:rPr>
        <w:t>检查人：</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w:panose1 w:val="02040604050505020304"/>
    <w:charset w:val="00"/>
    <w:family w:val="roman"/>
    <w:pitch w:val="default"/>
    <w:sig w:usb0="00000287" w:usb1="000000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hNjgwNTU5YTE2MDA0MWY4MTMwYTVjYzlhMTg5ZWUifQ=="/>
    <w:docVar w:name="KGWebUrl" w:val="http://newoa.hhu.edu.cn/seeyon/officeservlet"/>
  </w:docVars>
  <w:rsids>
    <w:rsidRoot w:val="005D2708"/>
    <w:rsid w:val="000457CE"/>
    <w:rsid w:val="000A7E07"/>
    <w:rsid w:val="000B1744"/>
    <w:rsid w:val="00183F35"/>
    <w:rsid w:val="001F6625"/>
    <w:rsid w:val="00252319"/>
    <w:rsid w:val="00295D02"/>
    <w:rsid w:val="002A49A7"/>
    <w:rsid w:val="002D545F"/>
    <w:rsid w:val="00463369"/>
    <w:rsid w:val="0050481E"/>
    <w:rsid w:val="00577A58"/>
    <w:rsid w:val="00582D4B"/>
    <w:rsid w:val="005D2708"/>
    <w:rsid w:val="0062510E"/>
    <w:rsid w:val="00661380"/>
    <w:rsid w:val="00694C40"/>
    <w:rsid w:val="006B1A49"/>
    <w:rsid w:val="006D74CE"/>
    <w:rsid w:val="006E7F90"/>
    <w:rsid w:val="00704B2B"/>
    <w:rsid w:val="00733F78"/>
    <w:rsid w:val="00771936"/>
    <w:rsid w:val="007846EF"/>
    <w:rsid w:val="007A3C52"/>
    <w:rsid w:val="0089154B"/>
    <w:rsid w:val="00905A9A"/>
    <w:rsid w:val="009240EA"/>
    <w:rsid w:val="00926CDC"/>
    <w:rsid w:val="00954002"/>
    <w:rsid w:val="009E3284"/>
    <w:rsid w:val="009F2294"/>
    <w:rsid w:val="00A13BC9"/>
    <w:rsid w:val="00A3779F"/>
    <w:rsid w:val="00A457F6"/>
    <w:rsid w:val="00A4678B"/>
    <w:rsid w:val="00A5561F"/>
    <w:rsid w:val="00A613A1"/>
    <w:rsid w:val="00AD654A"/>
    <w:rsid w:val="00AE6AF9"/>
    <w:rsid w:val="00B268B6"/>
    <w:rsid w:val="00B47A10"/>
    <w:rsid w:val="00B87A8B"/>
    <w:rsid w:val="00BF784F"/>
    <w:rsid w:val="00D01C13"/>
    <w:rsid w:val="00D7595B"/>
    <w:rsid w:val="00D82D7C"/>
    <w:rsid w:val="00DD570C"/>
    <w:rsid w:val="00E00FCC"/>
    <w:rsid w:val="015754F6"/>
    <w:rsid w:val="030E14B4"/>
    <w:rsid w:val="095F763D"/>
    <w:rsid w:val="0A36039E"/>
    <w:rsid w:val="0C272694"/>
    <w:rsid w:val="14AD5701"/>
    <w:rsid w:val="17CC073D"/>
    <w:rsid w:val="1AA90718"/>
    <w:rsid w:val="1C69714E"/>
    <w:rsid w:val="1CCE1BE6"/>
    <w:rsid w:val="1CE86A39"/>
    <w:rsid w:val="1D7F1C04"/>
    <w:rsid w:val="1E7C3B72"/>
    <w:rsid w:val="235249C8"/>
    <w:rsid w:val="277240DE"/>
    <w:rsid w:val="2862088A"/>
    <w:rsid w:val="288B49CC"/>
    <w:rsid w:val="2C973D3F"/>
    <w:rsid w:val="2FC07853"/>
    <w:rsid w:val="30E14F17"/>
    <w:rsid w:val="352549E8"/>
    <w:rsid w:val="36F17277"/>
    <w:rsid w:val="3FA36DED"/>
    <w:rsid w:val="427E0CE6"/>
    <w:rsid w:val="45DC4237"/>
    <w:rsid w:val="4A901361"/>
    <w:rsid w:val="4CB9218D"/>
    <w:rsid w:val="530F48B5"/>
    <w:rsid w:val="56E126C6"/>
    <w:rsid w:val="5779221D"/>
    <w:rsid w:val="5A39015A"/>
    <w:rsid w:val="5A522F08"/>
    <w:rsid w:val="5BEB0C91"/>
    <w:rsid w:val="5EC54A67"/>
    <w:rsid w:val="60CF6E27"/>
    <w:rsid w:val="610B6A2C"/>
    <w:rsid w:val="6418674C"/>
    <w:rsid w:val="64A33B88"/>
    <w:rsid w:val="6613577F"/>
    <w:rsid w:val="67320C87"/>
    <w:rsid w:val="697A6200"/>
    <w:rsid w:val="6A3E072D"/>
    <w:rsid w:val="6E963C85"/>
    <w:rsid w:val="6EAB7F53"/>
    <w:rsid w:val="6FD522B3"/>
    <w:rsid w:val="713A798C"/>
    <w:rsid w:val="74126E97"/>
    <w:rsid w:val="7A480ADB"/>
    <w:rsid w:val="7A605EED"/>
    <w:rsid w:val="7B5C0342"/>
    <w:rsid w:val="7DF82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link w:val="15"/>
    <w:qFormat/>
    <w:uiPriority w:val="0"/>
    <w:pPr>
      <w:keepNext/>
      <w:jc w:val="center"/>
      <w:outlineLvl w:val="0"/>
    </w:pPr>
    <w:rPr>
      <w:rFonts w:ascii="黑体" w:hAnsi="Times New Roman" w:eastAsia="宋体" w:cs="Times New Roman"/>
      <w:b/>
      <w:kern w:val="2"/>
      <w:sz w:val="32"/>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7"/>
    <w:qFormat/>
    <w:uiPriority w:val="0"/>
    <w:pPr>
      <w:spacing w:after="0" w:line="440" w:lineRule="exact"/>
      <w:ind w:left="0" w:leftChars="0" w:firstLine="420" w:firstLineChars="200"/>
    </w:pPr>
    <w:rPr>
      <w:rFonts w:ascii="宋体" w:cs="Century"/>
      <w:spacing w:val="2"/>
    </w:rPr>
  </w:style>
  <w:style w:type="paragraph" w:styleId="3">
    <w:name w:val="Body Text Indent"/>
    <w:basedOn w:val="1"/>
    <w:next w:val="1"/>
    <w:link w:val="16"/>
    <w:semiHidden/>
    <w:unhideWhenUsed/>
    <w:qFormat/>
    <w:uiPriority w:val="99"/>
    <w:pPr>
      <w:spacing w:after="120"/>
      <w:ind w:left="420" w:leftChars="200"/>
    </w:pPr>
  </w:style>
  <w:style w:type="paragraph" w:styleId="5">
    <w:name w:val="Normal Indent"/>
    <w:basedOn w:val="1"/>
    <w:next w:val="1"/>
    <w:link w:val="21"/>
    <w:qFormat/>
    <w:uiPriority w:val="99"/>
    <w:pPr>
      <w:autoSpaceDE w:val="0"/>
      <w:autoSpaceDN w:val="0"/>
      <w:adjustRightInd w:val="0"/>
      <w:ind w:firstLine="420"/>
    </w:pPr>
    <w:rPr>
      <w:rFonts w:ascii="宋体"/>
      <w:sz w:val="24"/>
    </w:rPr>
  </w:style>
  <w:style w:type="paragraph" w:styleId="6">
    <w:name w:val="annotation text"/>
    <w:basedOn w:val="1"/>
    <w:semiHidden/>
    <w:unhideWhenUsed/>
    <w:qFormat/>
    <w:uiPriority w:val="99"/>
    <w:pPr>
      <w:jc w:val="left"/>
    </w:pPr>
  </w:style>
  <w:style w:type="paragraph" w:styleId="7">
    <w:name w:val="Body Text"/>
    <w:basedOn w:val="1"/>
    <w:next w:val="1"/>
    <w:link w:val="18"/>
    <w:qFormat/>
    <w:uiPriority w:val="0"/>
    <w:pPr>
      <w:spacing w:after="120"/>
    </w:pPr>
  </w:style>
  <w:style w:type="paragraph" w:styleId="8">
    <w:name w:val="Plain Text"/>
    <w:basedOn w:val="1"/>
    <w:next w:val="5"/>
    <w:link w:val="20"/>
    <w:qFormat/>
    <w:uiPriority w:val="99"/>
    <w:rPr>
      <w:rFonts w:ascii="宋体" w:hAnsi="宋体" w:eastAsiaTheme="minorEastAsia" w:cstheme="minorBidi"/>
      <w:sz w:val="26"/>
      <w:szCs w:val="22"/>
    </w:rPr>
  </w:style>
  <w:style w:type="paragraph" w:styleId="9">
    <w:name w:val="Balloon Text"/>
    <w:basedOn w:val="1"/>
    <w:link w:val="25"/>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character" w:styleId="14">
    <w:name w:val="annotation reference"/>
    <w:basedOn w:val="13"/>
    <w:semiHidden/>
    <w:unhideWhenUsed/>
    <w:qFormat/>
    <w:uiPriority w:val="99"/>
    <w:rPr>
      <w:sz w:val="21"/>
      <w:szCs w:val="21"/>
    </w:rPr>
  </w:style>
  <w:style w:type="character" w:customStyle="1" w:styleId="15">
    <w:name w:val="标题 1 Char"/>
    <w:basedOn w:val="13"/>
    <w:link w:val="4"/>
    <w:qFormat/>
    <w:uiPriority w:val="0"/>
    <w:rPr>
      <w:rFonts w:ascii="黑体" w:hAnsi="Times New Roman" w:eastAsia="宋体" w:cs="Times New Roman"/>
      <w:b/>
      <w:sz w:val="32"/>
      <w:szCs w:val="24"/>
    </w:rPr>
  </w:style>
  <w:style w:type="character" w:customStyle="1" w:styleId="16">
    <w:name w:val="正文文本缩进 Char"/>
    <w:basedOn w:val="13"/>
    <w:link w:val="3"/>
    <w:semiHidden/>
    <w:qFormat/>
    <w:uiPriority w:val="99"/>
    <w:rPr>
      <w:rFonts w:ascii="Times New Roman" w:hAnsi="Times New Roman" w:eastAsia="宋体" w:cs="Times New Roman"/>
      <w:szCs w:val="24"/>
    </w:rPr>
  </w:style>
  <w:style w:type="character" w:customStyle="1" w:styleId="17">
    <w:name w:val="正文首行缩进 2 Char"/>
    <w:basedOn w:val="16"/>
    <w:link w:val="2"/>
    <w:qFormat/>
    <w:uiPriority w:val="0"/>
    <w:rPr>
      <w:rFonts w:ascii="宋体" w:hAnsi="Times New Roman" w:eastAsia="宋体" w:cs="Century"/>
      <w:spacing w:val="2"/>
      <w:szCs w:val="24"/>
    </w:rPr>
  </w:style>
  <w:style w:type="character" w:customStyle="1" w:styleId="18">
    <w:name w:val="正文文本 Char"/>
    <w:basedOn w:val="13"/>
    <w:link w:val="7"/>
    <w:qFormat/>
    <w:uiPriority w:val="0"/>
    <w:rPr>
      <w:rFonts w:ascii="Times New Roman" w:hAnsi="Times New Roman" w:eastAsia="宋体" w:cs="Times New Roman"/>
      <w:szCs w:val="24"/>
    </w:rPr>
  </w:style>
  <w:style w:type="character" w:customStyle="1" w:styleId="19">
    <w:name w:val="纯文本 Char"/>
    <w:basedOn w:val="13"/>
    <w:semiHidden/>
    <w:qFormat/>
    <w:uiPriority w:val="99"/>
    <w:rPr>
      <w:rFonts w:ascii="宋体" w:hAnsi="Courier New" w:eastAsia="宋体" w:cs="Courier New"/>
      <w:szCs w:val="21"/>
    </w:rPr>
  </w:style>
  <w:style w:type="character" w:customStyle="1" w:styleId="20">
    <w:name w:val="纯文本 Char1"/>
    <w:basedOn w:val="13"/>
    <w:link w:val="8"/>
    <w:qFormat/>
    <w:uiPriority w:val="99"/>
    <w:rPr>
      <w:rFonts w:ascii="宋体" w:hAnsi="宋体"/>
      <w:sz w:val="26"/>
    </w:rPr>
  </w:style>
  <w:style w:type="character" w:customStyle="1" w:styleId="21">
    <w:name w:val="正文缩进 Char"/>
    <w:link w:val="5"/>
    <w:qFormat/>
    <w:uiPriority w:val="99"/>
    <w:rPr>
      <w:rFonts w:ascii="宋体" w:hAnsi="Times New Roman" w:eastAsia="宋体" w:cs="Times New Roman"/>
      <w:sz w:val="24"/>
      <w:szCs w:val="24"/>
    </w:rPr>
  </w:style>
  <w:style w:type="paragraph" w:styleId="22">
    <w:name w:val="List Paragraph"/>
    <w:basedOn w:val="1"/>
    <w:qFormat/>
    <w:uiPriority w:val="34"/>
    <w:pPr>
      <w:ind w:firstLine="420" w:firstLineChars="200"/>
    </w:pPr>
    <w:rPr>
      <w:rFonts w:ascii="Calibri" w:hAnsi="Calibri"/>
      <w:szCs w:val="22"/>
    </w:rPr>
  </w:style>
  <w:style w:type="character" w:customStyle="1" w:styleId="23">
    <w:name w:val="页眉 Char"/>
    <w:basedOn w:val="13"/>
    <w:link w:val="11"/>
    <w:qFormat/>
    <w:uiPriority w:val="99"/>
    <w:rPr>
      <w:rFonts w:ascii="Times New Roman" w:hAnsi="Times New Roman" w:eastAsia="宋体" w:cs="Times New Roman"/>
      <w:sz w:val="18"/>
      <w:szCs w:val="18"/>
    </w:rPr>
  </w:style>
  <w:style w:type="character" w:customStyle="1" w:styleId="24">
    <w:name w:val="页脚 Char"/>
    <w:basedOn w:val="13"/>
    <w:link w:val="10"/>
    <w:qFormat/>
    <w:uiPriority w:val="99"/>
    <w:rPr>
      <w:rFonts w:ascii="Times New Roman" w:hAnsi="Times New Roman" w:eastAsia="宋体" w:cs="Times New Roman"/>
      <w:sz w:val="18"/>
      <w:szCs w:val="18"/>
    </w:rPr>
  </w:style>
  <w:style w:type="character" w:customStyle="1" w:styleId="25">
    <w:name w:val="批注框文本 Char"/>
    <w:basedOn w:val="13"/>
    <w:link w:val="9"/>
    <w:semiHidden/>
    <w:qFormat/>
    <w:uiPriority w:val="99"/>
    <w:rPr>
      <w:rFonts w:ascii="Times New Roman" w:hAnsi="Times New Roman" w:eastAsia="宋体" w:cs="Times New Roman"/>
      <w:kern w:val="2"/>
      <w:sz w:val="18"/>
      <w:szCs w:val="18"/>
    </w:rPr>
  </w:style>
  <w:style w:type="paragraph" w:customStyle="1" w:styleId="26">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1635A-25C5-4527-9E19-BA3C1F5CD0C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1430</Words>
  <Characters>8152</Characters>
  <Lines>67</Lines>
  <Paragraphs>19</Paragraphs>
  <TotalTime>2</TotalTime>
  <ScaleCrop>false</ScaleCrop>
  <LinksUpToDate>false</LinksUpToDate>
  <CharactersWithSpaces>9563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2023-06-28T09:29:00Z</dcterms:created>
  <dc:creator>Administrator</dc:creator>
  <cp:lastModifiedBy>郑玮炜</cp:lastModifiedBy>
  <dcterms:modified xsi:type="dcterms:W3CDTF">2023-06-29T00:33:58Z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F807DA52648F4FC7AF29415D52A21B9E_13</vt:lpwstr>
  </property>
</Properties>
</file>